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92" w:rsidRDefault="00102AE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南京农业大学关于评选201</w:t>
      </w:r>
      <w:r w:rsidR="00CC319E">
        <w:rPr>
          <w:rFonts w:ascii="黑体" w:eastAsia="黑体" w:hAnsi="黑体" w:hint="eastAsia"/>
          <w:b/>
          <w:sz w:val="36"/>
          <w:szCs w:val="36"/>
        </w:rPr>
        <w:t>7</w:t>
      </w:r>
      <w:r>
        <w:rPr>
          <w:rFonts w:ascii="黑体" w:eastAsia="黑体" w:hAnsi="黑体" w:hint="eastAsia"/>
          <w:b/>
          <w:sz w:val="36"/>
          <w:szCs w:val="36"/>
        </w:rPr>
        <w:t>年度</w:t>
      </w:r>
      <w:r>
        <w:rPr>
          <w:rFonts w:ascii="黑体" w:eastAsia="黑体" w:hAnsi="黑体"/>
          <w:b/>
          <w:sz w:val="36"/>
          <w:szCs w:val="36"/>
        </w:rPr>
        <w:br/>
      </w:r>
      <w:r>
        <w:rPr>
          <w:rFonts w:ascii="黑体" w:eastAsia="黑体" w:hAnsi="黑体" w:hint="eastAsia"/>
          <w:b/>
          <w:sz w:val="36"/>
          <w:szCs w:val="36"/>
        </w:rPr>
        <w:t>“大北农青年学者奖”的通知</w:t>
      </w:r>
    </w:p>
    <w:p w:rsidR="003C2692" w:rsidRDefault="003C2692">
      <w:pPr>
        <w:spacing w:line="360" w:lineRule="auto"/>
        <w:rPr>
          <w:rFonts w:ascii="黑体" w:eastAsia="黑体" w:hAnsi="黑体"/>
          <w:b/>
          <w:sz w:val="36"/>
          <w:szCs w:val="36"/>
        </w:rPr>
      </w:pPr>
    </w:p>
    <w:p w:rsidR="003C2692" w:rsidRPr="00CC319E" w:rsidRDefault="00102AEC" w:rsidP="00CC319E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各学院、各单位：</w:t>
      </w:r>
    </w:p>
    <w:p w:rsidR="003C2692" w:rsidRPr="00CC319E" w:rsidRDefault="00746FBC" w:rsidP="00CC319E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 w:rsidR="00C230E8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激发青年学者科研热情与活力，</w:t>
      </w:r>
      <w:r w:rsidR="007728D0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促进青年人才</w:t>
      </w:r>
      <w:r w:rsid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="007728D0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培养，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</w:t>
      </w:r>
      <w:r w:rsidR="00102AEC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决定启动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 w:rsidR="00102AEC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年度“大北农青年学者奖”评选工</w:t>
      </w:r>
      <w:r w:rsidR="007728D0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</w:t>
      </w:r>
      <w:r w:rsid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，奖励</w:t>
      </w:r>
      <w:r w:rsidR="007728D0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在科研工作中做出优异成绩青年教师</w:t>
      </w:r>
      <w:r w:rsidR="00102AEC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746FBC" w:rsidRPr="00CC319E" w:rsidRDefault="00746FBC" w:rsidP="00CC319E">
      <w:pPr>
        <w:pStyle w:val="a8"/>
        <w:widowControl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奖项设置</w:t>
      </w:r>
    </w:p>
    <w:p w:rsidR="00746FBC" w:rsidRPr="00CC319E" w:rsidRDefault="00C230E8" w:rsidP="00CC319E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46FBC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“大北农青年学者奖”</w:t>
      </w:r>
      <w:r w:rsidR="00BF08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由大北农公益基金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设立，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奖励我校农学、植保、资环、园艺、动科、动医、食品、生科、金融学院在科研工作中做出优异成绩</w:t>
      </w:r>
      <w:r w:rsid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青年教师（不包括兼任教师，</w:t>
      </w:r>
      <w:r w:rsidR="00CC319E" w:rsidRPr="00CC319E">
        <w:rPr>
          <w:rFonts w:ascii="宋体" w:eastAsia="宋体" w:hAnsi="宋体" w:hint="eastAsia"/>
          <w:sz w:val="24"/>
          <w:szCs w:val="24"/>
        </w:rPr>
        <w:t>每个学院</w:t>
      </w:r>
      <w:r w:rsidR="00CC319E" w:rsidRPr="00CC31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推荐人选不超过1名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该项奖项共设五年（2016-2020年），每年奖励不超过9项，每项奖金10万元（税前）。</w:t>
      </w:r>
    </w:p>
    <w:p w:rsidR="003C2692" w:rsidRPr="00CC319E" w:rsidRDefault="00102AEC" w:rsidP="00CC319E">
      <w:pPr>
        <w:pStyle w:val="a8"/>
        <w:widowControl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评选要求</w:t>
      </w:r>
    </w:p>
    <w:p w:rsidR="003C2692" w:rsidRPr="00CC319E" w:rsidRDefault="00102AEC" w:rsidP="00CC319E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（一）评选条件原则上按照《南京农业大学大北农青年学者奖管理办法》（附件1）执行。</w:t>
      </w:r>
    </w:p>
    <w:p w:rsidR="003C2692" w:rsidRPr="00CC319E" w:rsidRDefault="00102AEC" w:rsidP="00CC319E">
      <w:pPr>
        <w:spacing w:before="100" w:beforeAutospacing="1" w:after="100" w:afterAutospacing="1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（二）申请条件：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年龄在40周岁（含40岁）以下（</w:t>
      </w:r>
      <w:r w:rsidRP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即197</w:t>
      </w:r>
      <w:r w:rsidR="00C230E8" w:rsidRP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7728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年9月1日后出生）；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 具有高级专业技术职务和博士学位；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 热爱祖国，拥护党的路线、方针和政策，有高尚的社会公德及职业道德，遵纪守法，治学严谨，学风正派；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 原则上在我校工作满三年，且近三年科学研究工作成绩显著，并具有较大发展潜力。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已获得过国家级人才资助、江苏特聘教授、江苏省“六大人才高峰”创新人才团队、江苏省“青蓝工程”科技创新团队、江苏省“333</w:t>
      </w:r>
      <w:r w:rsidR="00F11C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工程”第一、二层次培养对象计划资助的不予考虑；</w:t>
      </w:r>
      <w:r w:rsidR="00F11C94" w:rsidRPr="00F11C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已获得过“大北农青年学者奖”的不重复支持</w:t>
      </w:r>
      <w:r w:rsidR="00F11C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C2692" w:rsidRPr="00CC319E" w:rsidRDefault="00CC319E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（三）</w:t>
      </w:r>
      <w:r w:rsidR="00102AEC" w:rsidRPr="00CC31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科研工作与大北农集团经营范围和发展战略相关的</w:t>
      </w:r>
      <w:r w:rsidR="007728D0" w:rsidRPr="00CC31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青年教师</w:t>
      </w:r>
      <w:r w:rsidR="00102AEC" w:rsidRPr="00CC319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优先推荐。</w:t>
      </w:r>
    </w:p>
    <w:p w:rsidR="003C2692" w:rsidRPr="00CC319E" w:rsidRDefault="00102AEC" w:rsidP="00CC319E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时间安排</w:t>
      </w:r>
    </w:p>
    <w:p w:rsidR="003C2692" w:rsidRPr="00CC319E" w:rsidRDefault="00102AEC" w:rsidP="00CC319E">
      <w:pPr>
        <w:widowControl/>
        <w:spacing w:line="360" w:lineRule="auto"/>
        <w:ind w:firstLineChars="200"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（一）2017年7月</w:t>
      </w:r>
      <w:r w:rsidR="00CC319E"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6</w:t>
      </w: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日前：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申请人填写《南京农业大学大北农青年学者奖申请书》（附件2），按要求向学院提供相应的申报材料。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</w:t>
      </w: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201</w:t>
      </w:r>
      <w:r w:rsidR="009F6DC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年9月5日前：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学院对申请人的材料进行审查，相关材料（《申请书》表1-表4，有关证明材料等）在学院网站公示不少于5个工作日；公示结束后，学院组织专家评选，择优推荐候选人并填写推荐意见。以学院为单位，在</w:t>
      </w:r>
      <w:r w:rsidRPr="00CC319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9月11日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前向科学研究院提交以下材料：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1、申请者的</w:t>
      </w:r>
      <w:r w:rsidRPr="00CC319E">
        <w:rPr>
          <w:rFonts w:ascii="宋体" w:eastAsia="宋体" w:hAnsi="宋体" w:cs="Malgun Gothic Semilight" w:hint="eastAsia"/>
          <w:color w:val="000000"/>
          <w:kern w:val="0"/>
          <w:sz w:val="24"/>
          <w:szCs w:val="24"/>
        </w:rPr>
        <w:t>《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南京农业大学大北农青年学者奖申请表</w:t>
      </w:r>
      <w:r w:rsidRPr="00CC319E">
        <w:rPr>
          <w:rFonts w:ascii="宋体" w:eastAsia="宋体" w:hAnsi="宋体" w:cs="Malgun Gothic Semilight" w:hint="eastAsia"/>
          <w:color w:val="000000"/>
          <w:kern w:val="0"/>
          <w:sz w:val="24"/>
          <w:szCs w:val="24"/>
        </w:rPr>
        <w:t>》（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附件2）；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2、有关证明材料（包括获奖证书、项目合同书、论文复印件、专利证书等）；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3、学院公示信息（含学院全部申请人名单）及结果。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以上材料需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纸质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稿、电子稿各1份，电子稿发送至</w:t>
      </w:r>
      <w:r w:rsid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kjccgk</w:t>
      </w:r>
      <w:r w:rsidRPr="00CC319E">
        <w:rPr>
          <w:rFonts w:ascii="宋体" w:eastAsia="宋体" w:hAnsi="宋体" w:cs="宋体"/>
          <w:color w:val="000000"/>
          <w:kern w:val="0"/>
          <w:sz w:val="24"/>
          <w:szCs w:val="24"/>
        </w:rPr>
        <w:t>@njau.edu.cn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C2692" w:rsidRPr="00CC319E" w:rsidRDefault="00102AEC" w:rsidP="00CC319E">
      <w:pPr>
        <w:widowControl/>
        <w:spacing w:line="360" w:lineRule="auto"/>
        <w:ind w:firstLineChars="200"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（三）201</w:t>
      </w:r>
      <w:r w:rsidR="009F6DC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年9月：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学研究院对学院推荐的奖励候选人材料进行公示，公示时间5个工作日。公示结束后，学校组建评审委员会，对学院推荐的青年学者奖候选人材料进行评审，形成建议授奖人员名单，报学校教育发展基金会。经学校教育发展基金会理事会审核，形成拟授奖人员名单，在学校网站公示5个工作日。</w:t>
      </w:r>
    </w:p>
    <w:p w:rsidR="003C2692" w:rsidRPr="00CC319E" w:rsidRDefault="00102AEC" w:rsidP="00CC319E">
      <w:pPr>
        <w:widowControl/>
        <w:spacing w:line="360" w:lineRule="auto"/>
        <w:ind w:firstLineChars="200"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（四）201</w:t>
      </w:r>
      <w:r w:rsidR="009F6DC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bookmarkStart w:id="0" w:name="_GoBack"/>
      <w:bookmarkEnd w:id="0"/>
      <w:r w:rsidRPr="00CC319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年10月：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公示结束后，向大北农集团报送评选结果及相关材料；大北农集团审批确认获奖教师名单。学校发文奖励。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联系人：科研院成果科 陈俐 张洛 8439643</w:t>
      </w:r>
      <w:r w:rsidR="00BC0C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</w:p>
    <w:p w:rsidR="003C2692" w:rsidRDefault="00102AEC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教育发展基金会办公室84399521</w:t>
      </w:r>
    </w:p>
    <w:p w:rsidR="007728D0" w:rsidRPr="00CC319E" w:rsidRDefault="007728D0" w:rsidP="00CC319E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C319E" w:rsidRPr="00CC319E" w:rsidRDefault="00102AEC" w:rsidP="00CC319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DB62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：南京农业大学大北</w:t>
      </w:r>
      <w:proofErr w:type="gramStart"/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农青年学者奖管理</w:t>
      </w:r>
      <w:proofErr w:type="gramEnd"/>
      <w:r w:rsidR="00CC319E"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办法</w:t>
      </w:r>
    </w:p>
    <w:p w:rsidR="00CC319E" w:rsidRPr="00CC319E" w:rsidRDefault="00CC319E" w:rsidP="00CC319E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附件2：南京农业大学大北</w:t>
      </w:r>
      <w:proofErr w:type="gramStart"/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农青年</w:t>
      </w:r>
      <w:proofErr w:type="gramEnd"/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学者奖申请书</w:t>
      </w:r>
    </w:p>
    <w:p w:rsidR="003C2692" w:rsidRPr="00CC319E" w:rsidRDefault="00CC319E" w:rsidP="00CC319E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附件3：大北农集团简介</w:t>
      </w:r>
    </w:p>
    <w:p w:rsidR="003C2692" w:rsidRPr="00CC319E" w:rsidRDefault="00102AEC" w:rsidP="00CC319E">
      <w:pPr>
        <w:widowControl/>
        <w:wordWrap w:val="0"/>
        <w:spacing w:line="360" w:lineRule="auto"/>
        <w:ind w:right="120"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</w:t>
      </w:r>
      <w:r w:rsid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科学研究院</w:t>
      </w:r>
    </w:p>
    <w:p w:rsidR="003C2692" w:rsidRPr="00CC319E" w:rsidRDefault="00102AEC" w:rsidP="00CC319E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 2017年6月2</w:t>
      </w:r>
      <w:r w:rsidR="00323B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CC31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  </w:t>
      </w:r>
    </w:p>
    <w:p w:rsidR="003C2692" w:rsidRPr="00CC319E" w:rsidRDefault="003C2692" w:rsidP="00CC319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C2692" w:rsidRPr="00CC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22" w:rsidRDefault="00755822" w:rsidP="00746FBC">
      <w:r>
        <w:separator/>
      </w:r>
    </w:p>
  </w:endnote>
  <w:endnote w:type="continuationSeparator" w:id="0">
    <w:p w:rsidR="00755822" w:rsidRDefault="00755822" w:rsidP="0074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lgun Gothic Semilight">
    <w:altName w:val="宋体"/>
    <w:charset w:val="86"/>
    <w:family w:val="swiss"/>
    <w:pitch w:val="default"/>
    <w:sig w:usb0="00000000" w:usb1="00000000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22" w:rsidRDefault="00755822" w:rsidP="00746FBC">
      <w:r>
        <w:separator/>
      </w:r>
    </w:p>
  </w:footnote>
  <w:footnote w:type="continuationSeparator" w:id="0">
    <w:p w:rsidR="00755822" w:rsidRDefault="00755822" w:rsidP="0074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DEB"/>
    <w:multiLevelType w:val="hybridMultilevel"/>
    <w:tmpl w:val="7E32DD0A"/>
    <w:lvl w:ilvl="0" w:tplc="8C58B522">
      <w:start w:val="1"/>
      <w:numFmt w:val="japaneseCounting"/>
      <w:lvlText w:val="%1、"/>
      <w:lvlJc w:val="left"/>
      <w:pPr>
        <w:ind w:left="145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A5"/>
    <w:rsid w:val="000F45B6"/>
    <w:rsid w:val="00102AEC"/>
    <w:rsid w:val="00151666"/>
    <w:rsid w:val="00183AF2"/>
    <w:rsid w:val="001B6D41"/>
    <w:rsid w:val="00207302"/>
    <w:rsid w:val="002844CB"/>
    <w:rsid w:val="00297C11"/>
    <w:rsid w:val="002C2F2D"/>
    <w:rsid w:val="00323B7E"/>
    <w:rsid w:val="003275F6"/>
    <w:rsid w:val="003A72AF"/>
    <w:rsid w:val="003C2692"/>
    <w:rsid w:val="00461D4B"/>
    <w:rsid w:val="005037FF"/>
    <w:rsid w:val="00511086"/>
    <w:rsid w:val="00523D9F"/>
    <w:rsid w:val="00532766"/>
    <w:rsid w:val="00545311"/>
    <w:rsid w:val="005D2D31"/>
    <w:rsid w:val="00657764"/>
    <w:rsid w:val="0068742D"/>
    <w:rsid w:val="006E61BA"/>
    <w:rsid w:val="006F1627"/>
    <w:rsid w:val="006F7FE9"/>
    <w:rsid w:val="00716A21"/>
    <w:rsid w:val="00746FBC"/>
    <w:rsid w:val="00755822"/>
    <w:rsid w:val="007728D0"/>
    <w:rsid w:val="007778B1"/>
    <w:rsid w:val="007A18F7"/>
    <w:rsid w:val="007A7E41"/>
    <w:rsid w:val="008352BD"/>
    <w:rsid w:val="0087630D"/>
    <w:rsid w:val="008807A5"/>
    <w:rsid w:val="00891A8D"/>
    <w:rsid w:val="008A2342"/>
    <w:rsid w:val="008C243F"/>
    <w:rsid w:val="008C2968"/>
    <w:rsid w:val="008C77A9"/>
    <w:rsid w:val="008E7B1F"/>
    <w:rsid w:val="0091332E"/>
    <w:rsid w:val="00930DC1"/>
    <w:rsid w:val="00934EC9"/>
    <w:rsid w:val="00964C5C"/>
    <w:rsid w:val="00970B5D"/>
    <w:rsid w:val="009B33B0"/>
    <w:rsid w:val="009C72A0"/>
    <w:rsid w:val="009F2873"/>
    <w:rsid w:val="009F4A40"/>
    <w:rsid w:val="009F6DC0"/>
    <w:rsid w:val="00A61B3D"/>
    <w:rsid w:val="00A75CF5"/>
    <w:rsid w:val="00AA1A1B"/>
    <w:rsid w:val="00B00D34"/>
    <w:rsid w:val="00B428D0"/>
    <w:rsid w:val="00B4532E"/>
    <w:rsid w:val="00B75AA0"/>
    <w:rsid w:val="00BB5187"/>
    <w:rsid w:val="00BC0C60"/>
    <w:rsid w:val="00BF08DF"/>
    <w:rsid w:val="00BF2873"/>
    <w:rsid w:val="00BF382C"/>
    <w:rsid w:val="00C10764"/>
    <w:rsid w:val="00C2134A"/>
    <w:rsid w:val="00C230AC"/>
    <w:rsid w:val="00C230E8"/>
    <w:rsid w:val="00C4138F"/>
    <w:rsid w:val="00C909E7"/>
    <w:rsid w:val="00CA6EDF"/>
    <w:rsid w:val="00CB2FA0"/>
    <w:rsid w:val="00CC319E"/>
    <w:rsid w:val="00CF371B"/>
    <w:rsid w:val="00D57765"/>
    <w:rsid w:val="00D80DBF"/>
    <w:rsid w:val="00D84956"/>
    <w:rsid w:val="00DB35B3"/>
    <w:rsid w:val="00DB621D"/>
    <w:rsid w:val="00DF10F8"/>
    <w:rsid w:val="00E46D12"/>
    <w:rsid w:val="00E513AD"/>
    <w:rsid w:val="00E72062"/>
    <w:rsid w:val="00EC1032"/>
    <w:rsid w:val="00EC3A39"/>
    <w:rsid w:val="00F11C94"/>
    <w:rsid w:val="00FE57A0"/>
    <w:rsid w:val="21E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rFonts w:ascii="微软雅黑" w:eastAsia="微软雅黑" w:hAnsi="微软雅黑" w:hint="eastAsia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pagetop">
    <w:name w:val="page_top"/>
    <w:basedOn w:val="a0"/>
    <w:rPr>
      <w:rFonts w:ascii="微软雅黑" w:eastAsia="微软雅黑" w:hAnsi="微软雅黑" w:hint="eastAsia"/>
      <w:color w:val="333333"/>
      <w:sz w:val="18"/>
      <w:szCs w:val="18"/>
    </w:rPr>
  </w:style>
  <w:style w:type="character" w:customStyle="1" w:styleId="pagebotton">
    <w:name w:val="page_botton"/>
    <w:basedOn w:val="a0"/>
    <w:rPr>
      <w:rFonts w:ascii="微软雅黑" w:eastAsia="微软雅黑" w:hAnsi="微软雅黑" w:hint="eastAsia"/>
      <w:color w:val="333333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746FBC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B00D3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00D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rFonts w:ascii="微软雅黑" w:eastAsia="微软雅黑" w:hAnsi="微软雅黑" w:hint="eastAsia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pagetop">
    <w:name w:val="page_top"/>
    <w:basedOn w:val="a0"/>
    <w:rPr>
      <w:rFonts w:ascii="微软雅黑" w:eastAsia="微软雅黑" w:hAnsi="微软雅黑" w:hint="eastAsia"/>
      <w:color w:val="333333"/>
      <w:sz w:val="18"/>
      <w:szCs w:val="18"/>
    </w:rPr>
  </w:style>
  <w:style w:type="character" w:customStyle="1" w:styleId="pagebotton">
    <w:name w:val="page_botton"/>
    <w:basedOn w:val="a0"/>
    <w:rPr>
      <w:rFonts w:ascii="微软雅黑" w:eastAsia="微软雅黑" w:hAnsi="微软雅黑" w:hint="eastAsia"/>
      <w:color w:val="333333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746FBC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B00D3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00D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cp:lastPrinted>2017-06-26T02:56:00Z</cp:lastPrinted>
  <dcterms:created xsi:type="dcterms:W3CDTF">2017-06-26T02:10:00Z</dcterms:created>
  <dcterms:modified xsi:type="dcterms:W3CDTF">2017-06-28T07:48:00Z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