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exact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240" w:lineRule="exact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240" w:lineRule="exact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240" w:lineRule="exact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240" w:lineRule="exact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360" w:lineRule="auto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360" w:lineRule="auto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360" w:lineRule="auto"/>
        <w:jc w:val="center"/>
        <w:rPr>
          <w:rFonts w:ascii="仿宋_GB2312" w:hAnsi="Times New Roman" w:eastAsia="仿宋_GB2312" w:cs="Times New Roman"/>
          <w:sz w:val="32"/>
          <w:szCs w:val="24"/>
        </w:rPr>
      </w:pPr>
    </w:p>
    <w:p>
      <w:pPr>
        <w:spacing w:line="360" w:lineRule="auto"/>
        <w:jc w:val="center"/>
        <w:rPr>
          <w:rFonts w:ascii="宋体" w:hAnsi="Times New Roman" w:eastAsia="宋体" w:cs="Times New Roman"/>
          <w:b/>
          <w:bCs/>
          <w:sz w:val="36"/>
          <w:szCs w:val="24"/>
        </w:rPr>
      </w:pPr>
      <w:r>
        <w:rPr>
          <w:rFonts w:hint="eastAsia" w:ascii="仿宋_GB2312" w:hAnsi="Times New Roman" w:eastAsia="仿宋_GB2312" w:cs="Times New Roman"/>
          <w:sz w:val="32"/>
          <w:szCs w:val="24"/>
        </w:rPr>
        <w:t>农科测试 [2015] 32 号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农业部科技发展中心关于申报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植物新品种测试指南研制的通知</w:t>
      </w:r>
    </w:p>
    <w:p>
      <w:pPr>
        <w:jc w:val="center"/>
        <w:rPr>
          <w:sz w:val="28"/>
          <w:szCs w:val="28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各有关单位：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为加强农业植物新品种权保护工作，鼓励社会力量研制植物新品种测试指南（以下简称指南），促进更多植物属（种）列入农业植物新品种保护名录，</w:t>
      </w:r>
      <w:r>
        <w:rPr>
          <w:rFonts w:hint="eastAsia" w:ascii="仿宋" w:hAnsi="仿宋" w:eastAsia="仿宋"/>
          <w:bCs/>
          <w:sz w:val="32"/>
          <w:szCs w:val="32"/>
        </w:rPr>
        <w:t>农业部科技发展中心（农业部植物新品种测试中心）（以下简称“测试中心”）组织开展指南研制工作，</w:t>
      </w:r>
      <w:r>
        <w:rPr>
          <w:rFonts w:hint="eastAsia" w:ascii="仿宋" w:hAnsi="仿宋" w:eastAsia="仿宋"/>
          <w:sz w:val="32"/>
          <w:szCs w:val="32"/>
        </w:rPr>
        <w:t>现将有关申报事项通知如下：</w:t>
      </w: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一、申请者条件</w:t>
      </w:r>
    </w:p>
    <w:p>
      <w:pPr>
        <w:ind w:firstLine="602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申请单位或个人应具备以下条件：</w:t>
      </w:r>
    </w:p>
    <w:p>
      <w:pPr>
        <w:ind w:firstLine="602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</w:t>
      </w:r>
      <w:r>
        <w:rPr>
          <w:rFonts w:hint="eastAsia" w:ascii="仿宋" w:hAnsi="仿宋" w:eastAsia="仿宋"/>
          <w:bCs/>
          <w:sz w:val="32"/>
          <w:szCs w:val="32"/>
        </w:rPr>
        <w:t>拟研制指南的植物育种、资源收集或研究达到国内先进水平，并具备较多品种资源及品种收集能力。</w:t>
      </w:r>
    </w:p>
    <w:p>
      <w:pPr>
        <w:ind w:firstLine="602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</w:t>
      </w:r>
      <w:r>
        <w:rPr>
          <w:rFonts w:hint="eastAsia" w:ascii="仿宋" w:hAnsi="仿宋" w:eastAsia="仿宋"/>
          <w:bCs/>
          <w:sz w:val="32"/>
          <w:szCs w:val="32"/>
        </w:rPr>
        <w:t>具有开展相关实验的人力和物力，即一名技术人员每年专职指南研制工作半年以上，两年工作合计1-1.5年，年需要种植、观测1-1.5亩试验地的植物品种（根据作物属种确定）。</w:t>
      </w:r>
    </w:p>
    <w:p>
      <w:pPr>
        <w:ind w:firstLine="602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</w:t>
      </w:r>
      <w:r>
        <w:rPr>
          <w:rFonts w:hint="eastAsia" w:ascii="仿宋" w:hAnsi="仿宋" w:eastAsia="仿宋"/>
          <w:bCs/>
          <w:sz w:val="32"/>
          <w:szCs w:val="32"/>
        </w:rPr>
        <w:t>具有阅读、借鉴国外该植物的指南条件（也可请人翻译国外指南）。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二、拟研制指南的农业植物范围</w:t>
      </w:r>
    </w:p>
    <w:p>
      <w:pPr>
        <w:ind w:firstLine="602"/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包括：粮、棉、油、麻、糖、菜、草、绿肥、食用菌、果树（水果部分）、草本花卉、草本药材等。林业和木本花卉及已有测试指南的农业植物不在申报范围内（详见附件1）。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三、遴选研制指南的植物属（种）遵循以下原则</w:t>
      </w:r>
    </w:p>
    <w:p>
      <w:pPr>
        <w:ind w:firstLine="472" w:firstLineChars="147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（一）优先考虑对我国农业影响较大的植物属或种</w:t>
      </w:r>
      <w:r>
        <w:rPr>
          <w:rFonts w:hint="eastAsia" w:ascii="仿宋" w:hAnsi="仿宋" w:eastAsia="仿宋"/>
          <w:b/>
          <w:sz w:val="32"/>
          <w:szCs w:val="32"/>
        </w:rPr>
        <w:t>（含亚种）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我国农业生产中占有比较重要的地位，关系粮棉油、菜篮子供应、农业发展、农民增收的植物属或种（含亚种）优先考虑。例如豆类杂粮近年来受到市场欢迎；麻类等是纤维作物，是重要的工业原料；蔬菜、水果与老百姓的生活关系密切；观赏植物、食用菌、中药材、牧草等是重要的农业经济作物。</w:t>
      </w:r>
    </w:p>
    <w:p>
      <w:pPr>
        <w:ind w:firstLine="472" w:firstLineChars="147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（二）优先考虑我国育种有优势和资源丰富的植物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我国为原产地或资源丰富的植物，如谷子是我国为原产地且育种有优势；三七药材资源我国丰富，育种研究进展快。</w:t>
      </w:r>
    </w:p>
    <w:p>
      <w:pPr>
        <w:ind w:firstLine="472" w:firstLineChars="147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（三）优先考虑引进国外优良新品种</w:t>
      </w:r>
    </w:p>
    <w:p>
      <w:pPr>
        <w:ind w:firstLine="602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外植物资源和育种有优势，且有利于我国农业产业发展和促进农民增收的植物。例如，列入第七批农业植物保护名录的花烛、果子蔓虽然是荷兰有优势的花卉属种，通过保护品种权，可使更多的国外优良品种进入我国，促进我国花卉产业发展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四、申报及评定</w:t>
      </w:r>
    </w:p>
    <w:p>
      <w:pPr>
        <w:ind w:firstLine="602"/>
        <w:jc w:val="left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（一）申报方式及年限</w:t>
      </w:r>
    </w:p>
    <w:p>
      <w:pPr>
        <w:ind w:firstLine="602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指南研制采取自由申请，自费为主、补助为辅（测试中心在研制过程中如争取到相关国家经费时，予以指南研制以适当经费补助。）本着自愿原则，全国各农业科研单位、教学单位、企业或个人，愿意以自费为主的形式开展指南研制的，都可以向测试中心提出研制申请，填写提交“植物新品种测试指南研立项申请表”（详见附件2）。项目实施年限：2015年6月～2018年12月。</w:t>
      </w:r>
    </w:p>
    <w:p>
      <w:pPr>
        <w:ind w:firstLine="602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（二）申报时间和地点</w:t>
      </w:r>
    </w:p>
    <w:p>
      <w:pPr>
        <w:ind w:firstLine="602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1、申报时间：2015年5月15日前或2015年10月10日前。申报单位须于截止日期前将纸质申请表（一式2份，）提交至测试中心。申报者须同时将申请表电子文档发送至邮箱（</w:t>
      </w:r>
      <w:r>
        <w:rPr>
          <w:rFonts w:ascii="仿宋" w:hAnsi="仿宋" w:eastAsia="仿宋" w:cs="Times New Roman"/>
          <w:sz w:val="32"/>
          <w:szCs w:val="24"/>
        </w:rPr>
        <w:t>xuyan5786@qq.com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ind w:firstLine="602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2、通讯地址：北京市朝阳区东三环南路96号农丰大厦707室，农业部科技发展中心植物新品种测试处；邮编：100122。</w:t>
      </w:r>
    </w:p>
    <w:p>
      <w:pPr>
        <w:ind w:firstLine="602"/>
        <w:jc w:val="left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（二）指南评审</w:t>
      </w:r>
    </w:p>
    <w:p>
      <w:pPr>
        <w:ind w:firstLine="602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通过专家评审，遴选承担单位。指南评审通过后，测试中心将通知申请者，并与申请单位或个人签订指南研制合同书，还将免费组织指南技术培训。</w:t>
      </w:r>
    </w:p>
    <w:p>
      <w:pPr>
        <w:ind w:firstLine="643" w:firstLineChars="20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b/>
          <w:sz w:val="32"/>
          <w:szCs w:val="24"/>
        </w:rPr>
        <w:t>四、联系人及电话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农业部科技发展中心：徐岩</w:t>
      </w:r>
    </w:p>
    <w:p>
      <w:pPr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电话/传真010-59199394/59199393；13901114460</w:t>
      </w:r>
    </w:p>
    <w:p>
      <w:pPr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邮箱：</w:t>
      </w:r>
      <w:r>
        <w:rPr>
          <w:rFonts w:ascii="仿宋" w:hAnsi="仿宋" w:eastAsia="仿宋" w:cs="Times New Roman"/>
          <w:sz w:val="32"/>
          <w:szCs w:val="24"/>
        </w:rPr>
        <w:t>xuyan5786@qq.com</w:t>
      </w:r>
      <w:r>
        <w:rPr>
          <w:rFonts w:hint="eastAsia" w:ascii="仿宋" w:hAnsi="仿宋" w:eastAsia="仿宋" w:cs="Times New Roman"/>
          <w:sz w:val="32"/>
          <w:szCs w:val="24"/>
        </w:rPr>
        <w:t>。</w:t>
      </w:r>
    </w:p>
    <w:p>
      <w:pPr>
        <w:ind w:firstLine="640" w:firstLineChars="200"/>
        <w:jc w:val="left"/>
        <w:rPr>
          <w:rFonts w:ascii="黑体" w:hAnsi="黑体" w:eastAsia="黑体" w:cs="Times New Roman"/>
          <w:sz w:val="32"/>
          <w:szCs w:val="24"/>
        </w:rPr>
      </w:pPr>
    </w:p>
    <w:p>
      <w:pPr>
        <w:ind w:firstLine="640" w:firstLineChars="200"/>
        <w:jc w:val="left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</w:t>
      </w:r>
      <w:r>
        <w:rPr>
          <w:rFonts w:hint="eastAsia" w:ascii="仿宋" w:hAnsi="仿宋" w:eastAsia="仿宋" w:cs="Times New Roman"/>
          <w:sz w:val="32"/>
          <w:szCs w:val="24"/>
        </w:rPr>
        <w:t>1.</w:t>
      </w:r>
      <w:r>
        <w:rPr>
          <w:rFonts w:hint="eastAsia" w:ascii="仿宋" w:hAnsi="仿宋" w:eastAsia="仿宋"/>
          <w:sz w:val="32"/>
          <w:szCs w:val="32"/>
        </w:rPr>
        <w:t>已有测试指南植物名细表；</w:t>
      </w:r>
    </w:p>
    <w:p>
      <w:pPr>
        <w:ind w:firstLine="640" w:firstLineChars="200"/>
        <w:jc w:val="left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 xml:space="preserve">      2.</w:t>
      </w:r>
      <w:r>
        <w:rPr>
          <w:rFonts w:hint="eastAsia" w:ascii="仿宋" w:hAnsi="仿宋" w:eastAsia="仿宋"/>
          <w:sz w:val="32"/>
          <w:szCs w:val="32"/>
        </w:rPr>
        <w:t>植物新品种测试指南研制立项申请表；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24"/>
        </w:rPr>
      </w:pPr>
    </w:p>
    <w:p>
      <w:pPr>
        <w:ind w:firstLine="640" w:firstLineChars="200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 xml:space="preserve">                  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 xml:space="preserve">                    农业部科技发展中心</w:t>
      </w:r>
    </w:p>
    <w:p>
      <w:pPr>
        <w:ind w:firstLine="3040" w:firstLineChars="950"/>
        <w:rPr>
          <w:rFonts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（农业部植物新品种测试中心）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24"/>
        </w:rPr>
      </w:pPr>
    </w:p>
    <w:p>
      <w:pPr>
        <w:spacing w:before="312" w:beforeLines="100"/>
        <w:ind w:firstLine="640" w:firstLineChars="2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 xml:space="preserve">                    2015年4月</w:t>
      </w:r>
      <w:r>
        <w:rPr>
          <w:rFonts w:hint="eastAsia" w:ascii="仿宋" w:hAnsi="仿宋" w:eastAsia="仿宋" w:cs="Times New Roman"/>
          <w:sz w:val="32"/>
          <w:szCs w:val="24"/>
          <w:lang w:val="en-US" w:eastAsia="zh-CN"/>
        </w:rPr>
        <w:t>17</w:t>
      </w:r>
      <w:r>
        <w:rPr>
          <w:rFonts w:hint="eastAsia" w:ascii="仿宋" w:hAnsi="仿宋" w:eastAsia="仿宋" w:cs="Times New Roman"/>
          <w:sz w:val="32"/>
          <w:szCs w:val="24"/>
        </w:rPr>
        <w:t>日</w:t>
      </w:r>
    </w:p>
    <w:p>
      <w:pPr>
        <w:spacing w:before="312" w:beforeLines="100"/>
        <w:ind w:firstLine="640" w:firstLineChars="200"/>
        <w:rPr>
          <w:rFonts w:hint="eastAsia" w:ascii="仿宋" w:hAnsi="仿宋" w:eastAsia="仿宋" w:cs="Times New Roman"/>
          <w:sz w:val="32"/>
          <w:szCs w:val="24"/>
        </w:rPr>
      </w:pPr>
    </w:p>
    <w:p>
      <w:pPr>
        <w:spacing w:before="312" w:beforeLines="100"/>
        <w:ind w:firstLine="640" w:firstLineChars="200"/>
        <w:rPr>
          <w:rFonts w:hint="eastAsia" w:ascii="仿宋" w:hAnsi="仿宋" w:eastAsia="仿宋" w:cs="Times New Roman"/>
          <w:sz w:val="32"/>
          <w:szCs w:val="24"/>
        </w:rPr>
      </w:pPr>
    </w:p>
    <w:p>
      <w:pPr>
        <w:spacing w:before="312" w:beforeLines="100"/>
        <w:ind w:firstLine="640" w:firstLineChars="200"/>
        <w:rPr>
          <w:rFonts w:hint="eastAsia" w:ascii="仿宋" w:hAnsi="仿宋" w:eastAsia="仿宋" w:cs="Times New Roman"/>
          <w:sz w:val="32"/>
          <w:szCs w:val="24"/>
        </w:rPr>
      </w:pPr>
    </w:p>
    <w:p>
      <w:pPr>
        <w:spacing w:before="312" w:beforeLines="100"/>
        <w:ind w:firstLine="640" w:firstLineChars="200"/>
        <w:rPr>
          <w:rFonts w:hint="eastAsia" w:ascii="仿宋" w:hAnsi="仿宋" w:eastAsia="仿宋" w:cs="Times New Roman"/>
          <w:sz w:val="32"/>
          <w:szCs w:val="24"/>
        </w:rPr>
      </w:pPr>
    </w:p>
    <w:p>
      <w:pPr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附件1</w:t>
      </w:r>
    </w:p>
    <w:p>
      <w:pPr>
        <w:ind w:firstLine="643" w:firstLineChars="200"/>
        <w:rPr>
          <w:rFonts w:ascii="楷体" w:hAnsi="楷体" w:eastAsia="楷体"/>
          <w:b/>
          <w:sz w:val="32"/>
          <w:szCs w:val="32"/>
        </w:rPr>
      </w:pPr>
    </w:p>
    <w:p>
      <w:pPr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已有测试指南200个植物名细表（不在申报范围）</w:t>
      </w:r>
    </w:p>
    <w:tbl>
      <w:tblPr>
        <w:tblStyle w:val="7"/>
        <w:tblW w:w="84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7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320" w:type="dxa"/>
            <w:vAlign w:val="top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分类</w:t>
            </w:r>
          </w:p>
        </w:tc>
        <w:tc>
          <w:tcPr>
            <w:tcW w:w="7152" w:type="dxa"/>
            <w:vAlign w:val="center"/>
          </w:tcPr>
          <w:p>
            <w:pPr>
              <w:ind w:firstLine="562" w:firstLineChars="200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植物属（种）名称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大田（39种）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水稻、小麦、玉米、棉花、大豆、甘蓝型油菜、芥菜型油菜、花生、甘薯、谷子、大麦、高粱、苎麻、亚麻、绿豆、桑树、茶树、芝麻、甘蔗、木薯、小豆、马铃薯、橡胶、燕麦、烟草、硬粒小麦、向日葵、荞麦、黍稷、白菜型油菜、蓖麻、大麻、谷稗、甜菜、薏苡、 鹰嘴豆、青麻、红麻(大麻槿)、甜菊；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牧草（16种）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紫花苜蓿、草地早熟禾、酸模属、柱花草属、（多花）黑麦草、黑麦、小黑麦、披碱草、高羊茅、白车轴草、狗牙根、结缕草、鸭茅、冰草、无芒雀麦、红三叶草。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蔬菜（46种）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大白菜、甘蓝、辣椒、番茄、萝卜、黄瓜、茄子、不结球白菜、花椰菜、菜豆、长豇豆、芹菜、西葫芦、大葱、胡萝卜、豌豆、蚕豆、大蒜、芥菜、芥兰、莴苣、苦瓜、冬瓜、韭菜、南瓜、洋葱、菠菜、青花菜、菊芋、荠菜、茭白、茼蒿、水芹、姜、紫苏、芦笋、山药、瓠瓜、荸荠、菜薹、籽粒苋、魔芋、丝瓜、芋、苋菜、蕹菜（空心菜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果树（28种）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苹果、柑橘、梨、李、桃、猕猴桃、香蕉、荔枝、葡萄、草莓、西瓜、甜瓜、龙眼、枇杷、樱桃、芒果、海棠、杏、杨梅、柿子、无花果、番木瓜、穗醋栗、树莓(悬钩子)、蓝莓、木菠萝、椰子、西番莲。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观赏（48种）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菊花、石竹、春兰、百合、鹤望兰属、非洲菊、兰属、补血草、安祖花、凤梨、唐菖蒲属、莲、蝴蝶兰、秋海棠；雁来红、花毛茛、凤仙花、万寿菊属、郁金香属、华北八宝、非洲凤仙花、新几内亚凤仙花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芍药、仙客来、石斛、凤梨属、马蹄莲、一串红、灯盏花、满天星、桔梗、水仙、芦荟、矮牵牛、薰衣草、萱草、铁线莲、报春花、三色堇、石蒜、翠菊、 睡莲属、白鹤芋（白掌）、莲瓣兰、长寿花、天竺葵、芫荽、六出花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菌类（8种）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白灵侧耳、灵芝、香菇、黑木耳、双孢蘑菇、草菇、金顶侧耳、羊肚菌（羊肚菜）。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320" w:type="dxa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中药（15种）</w:t>
            </w:r>
          </w:p>
        </w:tc>
        <w:tc>
          <w:tcPr>
            <w:tcW w:w="7152" w:type="dxa"/>
            <w:vAlign w:val="top"/>
          </w:tcPr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三七、人参、蒿、红花、天麻、黄芪、枸杞、板蓝根（大青叶）、丹参、柴胡、何首乌、穿心莲、 木瓜、金银花、牛蒡。 </w:t>
            </w:r>
          </w:p>
        </w:tc>
      </w:tr>
    </w:tbl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植物新品种测试指南研制立项申请表</w:t>
      </w:r>
    </w:p>
    <w:tbl>
      <w:tblPr>
        <w:tblStyle w:val="6"/>
        <w:tblW w:w="90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060"/>
        <w:gridCol w:w="1424"/>
        <w:gridCol w:w="3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指南名称</w:t>
            </w:r>
          </w:p>
        </w:tc>
        <w:tc>
          <w:tcPr>
            <w:tcW w:w="7545" w:type="dxa"/>
            <w:gridSpan w:val="3"/>
            <w:vAlign w:val="top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植物的学名（拉丁文）</w:t>
            </w:r>
          </w:p>
        </w:tc>
        <w:tc>
          <w:tcPr>
            <w:tcW w:w="7545" w:type="dxa"/>
            <w:gridSpan w:val="3"/>
            <w:vAlign w:val="top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申报单位</w:t>
            </w:r>
          </w:p>
        </w:tc>
        <w:tc>
          <w:tcPr>
            <w:tcW w:w="7545" w:type="dxa"/>
            <w:gridSpan w:val="3"/>
            <w:vAlign w:val="top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申 报 人</w:t>
            </w:r>
          </w:p>
        </w:tc>
        <w:tc>
          <w:tcPr>
            <w:tcW w:w="3060" w:type="dxa"/>
            <w:vAlign w:val="top"/>
          </w:tcPr>
          <w:p>
            <w:pPr>
              <w:rPr>
                <w:bCs/>
              </w:rPr>
            </w:pPr>
          </w:p>
        </w:tc>
        <w:tc>
          <w:tcPr>
            <w:tcW w:w="1424" w:type="dxa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电话/传真</w:t>
            </w:r>
          </w:p>
        </w:tc>
        <w:tc>
          <w:tcPr>
            <w:tcW w:w="3061" w:type="dxa"/>
            <w:vAlign w:val="top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E-MAIL</w:t>
            </w:r>
          </w:p>
        </w:tc>
        <w:tc>
          <w:tcPr>
            <w:tcW w:w="3060" w:type="dxa"/>
            <w:vAlign w:val="top"/>
          </w:tcPr>
          <w:p>
            <w:pPr>
              <w:rPr>
                <w:bCs/>
              </w:rPr>
            </w:pPr>
          </w:p>
        </w:tc>
        <w:tc>
          <w:tcPr>
            <w:tcW w:w="1424" w:type="dxa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手机</w:t>
            </w:r>
          </w:p>
        </w:tc>
        <w:tc>
          <w:tcPr>
            <w:tcW w:w="3061" w:type="dxa"/>
            <w:vAlign w:val="top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完成年限</w:t>
            </w:r>
          </w:p>
        </w:tc>
        <w:tc>
          <w:tcPr>
            <w:tcW w:w="3060" w:type="dxa"/>
            <w:vAlign w:val="top"/>
          </w:tcPr>
          <w:p>
            <w:pPr>
              <w:rPr>
                <w:bCs/>
              </w:rPr>
            </w:pPr>
          </w:p>
        </w:tc>
        <w:tc>
          <w:tcPr>
            <w:tcW w:w="1424" w:type="dxa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自筹经费（万元）</w:t>
            </w:r>
          </w:p>
        </w:tc>
        <w:tc>
          <w:tcPr>
            <w:tcW w:w="3061" w:type="dxa"/>
            <w:vAlign w:val="top"/>
          </w:tcPr>
          <w:p>
            <w:pPr>
              <w:rPr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9093" w:type="dxa"/>
            <w:gridSpan w:val="4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制定该指南的必要性：（植物资源和科研现状及对农业作用或引进国外资源的作用）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093" w:type="dxa"/>
            <w:gridSpan w:val="4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该指南适用范围：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9093" w:type="dxa"/>
            <w:gridSpan w:val="4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国外有关情况简介：（查询</w:t>
            </w:r>
            <w:r>
              <w:rPr>
                <w:bCs/>
              </w:rPr>
              <w:t>UPOV，CPVO和日本测试指南</w:t>
            </w:r>
            <w:r>
              <w:rPr>
                <w:rFonts w:hint="eastAsia"/>
                <w:bCs/>
              </w:rPr>
              <w:t>情况，见附页）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</w:trPr>
        <w:tc>
          <w:tcPr>
            <w:tcW w:w="9093" w:type="dxa"/>
            <w:gridSpan w:val="4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现在条件和科研实力：（具备相关科研实验地、人员、经验及成果、种子资源拥有及获取等）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9093" w:type="dxa"/>
            <w:gridSpan w:val="4"/>
            <w:vAlign w:val="top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申报单位（个人）意见：</w:t>
            </w:r>
          </w:p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ind w:firstLine="5040" w:firstLineChars="2400"/>
              <w:rPr>
                <w:bCs/>
              </w:rPr>
            </w:pPr>
            <w:r>
              <w:rPr>
                <w:rFonts w:hint="eastAsia"/>
                <w:bCs/>
              </w:rPr>
              <w:t>签字：           （盖章）</w:t>
            </w:r>
          </w:p>
        </w:tc>
      </w:tr>
    </w:tbl>
    <w:p>
      <w:r>
        <w:rPr>
          <w:rFonts w:hint="eastAsia"/>
        </w:rPr>
        <w:t>注：上表填写不下可扩大表格填写。</w:t>
      </w:r>
    </w:p>
    <w:p/>
    <w:p/>
    <w:p>
      <w:pPr>
        <w:widowControl/>
        <w:shd w:val="clear" w:color="auto" w:fill="FFFFFF"/>
        <w:spacing w:line="345" w:lineRule="atLeast"/>
        <w:jc w:val="left"/>
        <w:rPr>
          <w:rFonts w:ascii="宋体" w:hAnsi="宋体" w:eastAsia="宋体" w:cs="Arial"/>
          <w:b/>
          <w:kern w:val="0"/>
          <w:sz w:val="36"/>
          <w:szCs w:val="36"/>
        </w:rPr>
      </w:pPr>
      <w:r>
        <w:rPr>
          <w:rFonts w:hint="eastAsia" w:ascii="宋体" w:hAnsi="宋体" w:eastAsia="宋体" w:cs="Arial"/>
          <w:b/>
          <w:kern w:val="0"/>
          <w:sz w:val="36"/>
          <w:szCs w:val="36"/>
        </w:rPr>
        <w:t>附页</w:t>
      </w:r>
    </w:p>
    <w:p>
      <w:pPr>
        <w:widowControl/>
        <w:shd w:val="clear" w:color="auto" w:fill="FFFFFF"/>
        <w:spacing w:line="345" w:lineRule="atLeast"/>
        <w:jc w:val="left"/>
        <w:rPr>
          <w:rFonts w:ascii="宋体" w:hAnsi="宋体" w:eastAsia="宋体" w:cs="Arial"/>
          <w:b/>
          <w:kern w:val="0"/>
          <w:sz w:val="36"/>
          <w:szCs w:val="36"/>
        </w:rPr>
      </w:pPr>
      <w:r>
        <w:rPr>
          <w:rFonts w:hint="eastAsia" w:ascii="宋体" w:hAnsi="宋体" w:eastAsia="宋体" w:cs="Arial"/>
          <w:b/>
          <w:kern w:val="0"/>
          <w:sz w:val="36"/>
          <w:szCs w:val="36"/>
        </w:rPr>
        <w:t>一、项目实施年限范围：2015年6月～2018年12月</w:t>
      </w:r>
    </w:p>
    <w:p>
      <w:pPr>
        <w:widowControl/>
        <w:shd w:val="clear" w:color="auto" w:fill="FFFFFF"/>
        <w:spacing w:line="345" w:lineRule="atLeast"/>
        <w:jc w:val="center"/>
        <w:rPr>
          <w:rFonts w:ascii="宋体" w:hAnsi="宋体" w:eastAsia="宋体" w:cs="Arial"/>
          <w:b/>
          <w:kern w:val="0"/>
          <w:sz w:val="36"/>
          <w:szCs w:val="36"/>
        </w:rPr>
      </w:pPr>
      <w:r>
        <w:rPr>
          <w:rFonts w:hint="eastAsia" w:ascii="黑体" w:hAnsi="黑体" w:eastAsia="黑体" w:cs="Arial"/>
          <w:kern w:val="0"/>
          <w:sz w:val="32"/>
          <w:szCs w:val="32"/>
        </w:rPr>
        <w:t>二、</w:t>
      </w:r>
      <w:r>
        <w:rPr>
          <w:rFonts w:ascii="宋体" w:hAnsi="宋体" w:eastAsia="宋体" w:cs="Arial"/>
          <w:b/>
          <w:kern w:val="0"/>
          <w:sz w:val="36"/>
          <w:szCs w:val="36"/>
        </w:rPr>
        <w:t>UPOV，CPVO和日本测试指南查询的</w:t>
      </w:r>
      <w:r>
        <w:rPr>
          <w:rFonts w:hint="eastAsia" w:ascii="宋体" w:hAnsi="宋体" w:eastAsia="宋体" w:cs="Arial"/>
          <w:b/>
          <w:kern w:val="0"/>
          <w:sz w:val="36"/>
          <w:szCs w:val="36"/>
        </w:rPr>
        <w:t>网络</w:t>
      </w:r>
      <w:r>
        <w:rPr>
          <w:rFonts w:ascii="宋体" w:hAnsi="宋体" w:eastAsia="宋体" w:cs="Arial"/>
          <w:b/>
          <w:kern w:val="0"/>
          <w:sz w:val="36"/>
          <w:szCs w:val="36"/>
        </w:rPr>
        <w:t>链接</w:t>
      </w:r>
      <w:r>
        <w:rPr>
          <w:rFonts w:hint="eastAsia" w:ascii="宋体" w:hAnsi="宋体" w:eastAsia="宋体" w:cs="Arial"/>
          <w:b/>
          <w:kern w:val="0"/>
          <w:sz w:val="36"/>
          <w:szCs w:val="36"/>
        </w:rPr>
        <w:t>：</w:t>
      </w:r>
    </w:p>
    <w:p>
      <w:pPr>
        <w:widowControl/>
        <w:shd w:val="clear" w:color="auto" w:fill="FFFFFF"/>
        <w:spacing w:line="345" w:lineRule="atLeast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Arial" w:hAnsi="Arial" w:eastAsia="宋体" w:cs="Arial"/>
          <w:kern w:val="0"/>
          <w:szCs w:val="21"/>
        </w:rPr>
        <w:t>     </w:t>
      </w:r>
      <w:r>
        <w:rPr>
          <w:rFonts w:ascii="楷体" w:hAnsi="楷体" w:eastAsia="楷体" w:cs="Arial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45" w:lineRule="atLeast"/>
        <w:ind w:firstLine="320" w:firstLineChars="100"/>
        <w:jc w:val="left"/>
        <w:rPr>
          <w:rFonts w:ascii="黑体" w:hAnsi="黑体" w:eastAsia="黑体" w:cs="Arial"/>
          <w:kern w:val="0"/>
          <w:sz w:val="32"/>
          <w:szCs w:val="32"/>
        </w:rPr>
      </w:pPr>
      <w:r>
        <w:rPr>
          <w:rFonts w:hint="eastAsia" w:ascii="黑体" w:hAnsi="黑体" w:eastAsia="黑体" w:cs="Arial"/>
          <w:kern w:val="0"/>
          <w:sz w:val="32"/>
          <w:szCs w:val="32"/>
        </w:rPr>
        <w:t>1、</w:t>
      </w:r>
      <w:r>
        <w:rPr>
          <w:rFonts w:ascii="黑体" w:hAnsi="黑体" w:eastAsia="黑体" w:cs="Arial"/>
          <w:kern w:val="0"/>
          <w:sz w:val="32"/>
          <w:szCs w:val="32"/>
        </w:rPr>
        <w:t>UPOV：（查询链接）</w:t>
      </w:r>
    </w:p>
    <w:p>
      <w:pPr>
        <w:widowControl/>
        <w:shd w:val="clear" w:color="auto" w:fill="FFFFFF"/>
        <w:spacing w:line="345" w:lineRule="atLeast"/>
        <w:jc w:val="left"/>
        <w:rPr>
          <w:rFonts w:ascii="Arial" w:hAnsi="Arial" w:eastAsia="宋体" w:cs="Arial"/>
          <w:kern w:val="0"/>
          <w:sz w:val="28"/>
          <w:szCs w:val="28"/>
        </w:rPr>
      </w:pPr>
      <w:r>
        <w:fldChar w:fldCharType="begin"/>
      </w:r>
      <w:r>
        <w:instrText xml:space="preserve">HYPERLINK "http://www.upov.int/test_guidelines/en/" \t "_blank" </w:instrText>
      </w:r>
      <w:r>
        <w:fldChar w:fldCharType="separate"/>
      </w:r>
      <w:r>
        <w:rPr>
          <w:rFonts w:ascii="Arial" w:hAnsi="Arial" w:eastAsia="宋体" w:cs="Arial"/>
          <w:kern w:val="0"/>
          <w:sz w:val="28"/>
          <w:szCs w:val="28"/>
          <w:u w:val="single"/>
        </w:rPr>
        <w:t>http://www.upov.int/test_guidelines/en/</w:t>
      </w:r>
      <w:r>
        <w:fldChar w:fldCharType="end"/>
      </w:r>
      <w:r>
        <w:rPr>
          <w:rFonts w:ascii="Arial" w:hAnsi="Arial" w:eastAsia="宋体" w:cs="Arial"/>
          <w:kern w:val="0"/>
          <w:sz w:val="28"/>
          <w:szCs w:val="28"/>
        </w:rPr>
        <w:t xml:space="preserve"> （查询地址） </w:t>
      </w:r>
      <w:r>
        <w:fldChar w:fldCharType="begin"/>
      </w:r>
      <w:r>
        <w:instrText xml:space="preserve">HYPERLINK "http://www.upov.int/test_guidelines/en/list_supersede.jsp" \t "_blank" </w:instrText>
      </w:r>
      <w:r>
        <w:fldChar w:fldCharType="separate"/>
      </w:r>
      <w:r>
        <w:rPr>
          <w:rFonts w:ascii="Arial" w:hAnsi="Arial" w:eastAsia="宋体" w:cs="Arial"/>
          <w:kern w:val="0"/>
          <w:sz w:val="28"/>
          <w:szCs w:val="28"/>
          <w:u w:val="single"/>
        </w:rPr>
        <w:t>http://www.upov.int/test_guidelines/en/list_supersede.jsp</w:t>
      </w:r>
      <w:r>
        <w:fldChar w:fldCharType="end"/>
      </w:r>
      <w:r>
        <w:rPr>
          <w:rFonts w:ascii="Arial" w:hAnsi="Arial" w:eastAsia="宋体" w:cs="Arial"/>
          <w:kern w:val="0"/>
          <w:sz w:val="28"/>
          <w:szCs w:val="28"/>
        </w:rPr>
        <w:t> （</w:t>
      </w:r>
      <w:r>
        <w:rPr>
          <w:rFonts w:hint="eastAsia" w:ascii="Arial" w:hAnsi="Arial" w:eastAsia="宋体" w:cs="Arial"/>
          <w:kern w:val="0"/>
          <w:sz w:val="28"/>
          <w:szCs w:val="28"/>
        </w:rPr>
        <w:t>指南名细</w:t>
      </w:r>
      <w:r>
        <w:rPr>
          <w:rFonts w:ascii="Arial" w:hAnsi="Arial" w:eastAsia="宋体" w:cs="Arial"/>
          <w:kern w:val="0"/>
          <w:sz w:val="28"/>
          <w:szCs w:val="28"/>
        </w:rPr>
        <w:t>地址）</w:t>
      </w:r>
    </w:p>
    <w:p>
      <w:pPr>
        <w:widowControl/>
        <w:shd w:val="clear" w:color="auto" w:fill="FFFFFF"/>
        <w:spacing w:line="345" w:lineRule="atLeast"/>
        <w:jc w:val="left"/>
        <w:rPr>
          <w:rFonts w:ascii="Arial" w:hAnsi="Arial" w:eastAsia="宋体" w:cs="Arial"/>
          <w:kern w:val="0"/>
          <w:szCs w:val="21"/>
        </w:rPr>
      </w:pPr>
      <w:r>
        <w:rPr>
          <w:rFonts w:ascii="Arial" w:hAnsi="Arial" w:eastAsia="宋体" w:cs="Arial"/>
          <w:kern w:val="0"/>
          <w:szCs w:val="21"/>
        </w:rPr>
        <w:t> </w:t>
      </w:r>
      <w:r>
        <w:rPr>
          <w:rFonts w:ascii="黑体" w:hAnsi="黑体" w:eastAsia="黑体" w:cs="Arial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kern w:val="0"/>
          <w:sz w:val="32"/>
          <w:szCs w:val="32"/>
        </w:rPr>
        <w:t xml:space="preserve"> 2、</w:t>
      </w:r>
      <w:r>
        <w:rPr>
          <w:rFonts w:ascii="黑体" w:hAnsi="黑体" w:eastAsia="黑体" w:cs="Arial"/>
          <w:kern w:val="0"/>
          <w:sz w:val="32"/>
          <w:szCs w:val="32"/>
        </w:rPr>
        <w:t>CPVO：（查询链接）</w:t>
      </w:r>
      <w:r>
        <w:fldChar w:fldCharType="begin"/>
      </w:r>
      <w:r>
        <w:instrText xml:space="preserve">HYPERLINK "http://www.cpvo.europa.eu/main/en/home/technical-examinations/technical-protocols" \t "_blank" </w:instrText>
      </w:r>
      <w:r>
        <w:fldChar w:fldCharType="separate"/>
      </w:r>
      <w:r>
        <w:rPr>
          <w:rFonts w:ascii="Arial" w:hAnsi="Arial" w:eastAsia="宋体" w:cs="Arial"/>
          <w:kern w:val="0"/>
          <w:szCs w:val="21"/>
          <w:u w:val="single"/>
        </w:rPr>
        <w:t>http://www.cpvo.europa.eu/main/en/home/technical-examinations/technical-protocols</w:t>
      </w:r>
      <w:r>
        <w:fldChar w:fldCharType="end"/>
      </w:r>
      <w:r>
        <w:rPr>
          <w:rFonts w:ascii="Arial" w:hAnsi="Arial" w:eastAsia="宋体" w:cs="Arial"/>
          <w:kern w:val="0"/>
          <w:szCs w:val="21"/>
        </w:rPr>
        <w:t> </w:t>
      </w:r>
    </w:p>
    <w:p>
      <w:pPr>
        <w:widowControl/>
        <w:shd w:val="clear" w:color="auto" w:fill="FFFFFF"/>
        <w:spacing w:line="345" w:lineRule="atLeast"/>
        <w:jc w:val="left"/>
        <w:rPr>
          <w:rFonts w:ascii="Arial" w:hAnsi="Arial" w:eastAsia="宋体" w:cs="Arial"/>
          <w:kern w:val="0"/>
          <w:sz w:val="30"/>
          <w:szCs w:val="30"/>
        </w:rPr>
      </w:pPr>
      <w:r>
        <w:rPr>
          <w:rFonts w:ascii="Arial" w:hAnsi="Arial" w:eastAsia="宋体" w:cs="Arial"/>
          <w:kern w:val="0"/>
          <w:sz w:val="30"/>
          <w:szCs w:val="30"/>
        </w:rPr>
        <w:t>按照作物种类进行选择查询</w:t>
      </w:r>
      <w:r>
        <w:rPr>
          <w:rFonts w:hint="eastAsia" w:ascii="Arial" w:hAnsi="Arial" w:eastAsia="宋体" w:cs="Arial"/>
          <w:kern w:val="0"/>
          <w:sz w:val="30"/>
          <w:szCs w:val="30"/>
        </w:rPr>
        <w:t>：（</w:t>
      </w:r>
      <w:r>
        <w:rPr>
          <w:rFonts w:ascii="Arial" w:hAnsi="Arial" w:eastAsia="宋体" w:cs="Arial"/>
          <w:kern w:val="0"/>
          <w:szCs w:val="21"/>
        </w:rPr>
        <w:t> </w:t>
      </w:r>
      <w:r>
        <w:rPr>
          <w:rFonts w:ascii="Arial" w:hAnsi="Arial" w:eastAsia="宋体" w:cs="Arial"/>
          <w:kern w:val="0"/>
          <w:sz w:val="30"/>
          <w:szCs w:val="30"/>
        </w:rPr>
        <w:t>点击下图页面</w:t>
      </w:r>
      <w:r>
        <w:rPr>
          <w:rFonts w:hint="eastAsia" w:ascii="Arial" w:hAnsi="Arial" w:eastAsia="宋体" w:cs="Arial"/>
          <w:kern w:val="0"/>
          <w:sz w:val="30"/>
          <w:szCs w:val="30"/>
        </w:rPr>
        <w:t>）</w:t>
      </w:r>
    </w:p>
    <w:p>
      <w:pPr>
        <w:widowControl/>
        <w:shd w:val="clear" w:color="auto" w:fill="FFFFFF"/>
        <w:outlineLvl w:val="2"/>
        <w:rPr>
          <w:rFonts w:ascii="Tahoma" w:hAnsi="Tahoma" w:eastAsia="宋体" w:cs="Tahoma"/>
          <w:b/>
          <w:bCs/>
          <w:kern w:val="0"/>
          <w:sz w:val="28"/>
          <w:szCs w:val="28"/>
        </w:rPr>
      </w:pPr>
      <w:r>
        <w:rPr>
          <w:rFonts w:ascii="Tahoma" w:hAnsi="Tahoma" w:eastAsia="宋体" w:cs="Tahoma"/>
          <w:b/>
          <w:bCs/>
          <w:kern w:val="0"/>
          <w:sz w:val="28"/>
          <w:szCs w:val="28"/>
        </w:rPr>
        <w:t>MenuTP</w:t>
      </w:r>
    </w:p>
    <w:p>
      <w:pPr>
        <w:widowControl/>
        <w:numPr>
          <w:ilvl w:val="0"/>
          <w:numId w:val="1"/>
        </w:numPr>
        <w:shd w:val="clear" w:color="auto" w:fill="FFFFFF"/>
        <w:ind w:left="480"/>
        <w:rPr>
          <w:rFonts w:ascii="Tahoma" w:hAnsi="Tahoma" w:eastAsia="宋体" w:cs="Tahoma"/>
          <w:kern w:val="0"/>
          <w:sz w:val="28"/>
          <w:szCs w:val="28"/>
        </w:rPr>
      </w:pPr>
      <w:r>
        <w:fldChar w:fldCharType="begin"/>
      </w:r>
      <w:r>
        <w:instrText xml:space="preserve">HYPERLINK "http://www.cpvo.europa.eu/main/en/home/technical-examinations/technical-protocols/tp-agricultural-species" \t "_blank" </w:instrText>
      </w:r>
      <w:r>
        <w:fldChar w:fldCharType="separate"/>
      </w:r>
      <w:r>
        <w:rPr>
          <w:rFonts w:ascii="Tahoma" w:hAnsi="Tahoma" w:eastAsia="宋体" w:cs="Tahoma"/>
          <w:b/>
          <w:bCs/>
          <w:kern w:val="0"/>
          <w:sz w:val="28"/>
          <w:szCs w:val="28"/>
          <w:u w:val="single"/>
        </w:rPr>
        <w:t>TP Agricultural species</w:t>
      </w:r>
      <w:r>
        <w:fldChar w:fldCharType="end"/>
      </w:r>
      <w:r>
        <w:rPr>
          <w:rFonts w:ascii="Tahoma" w:hAnsi="Tahoma" w:eastAsia="宋体" w:cs="Tahoma"/>
          <w:kern w:val="0"/>
          <w:sz w:val="28"/>
          <w:szCs w:val="28"/>
        </w:rPr>
        <w:t>（大田作物）</w:t>
      </w:r>
    </w:p>
    <w:p>
      <w:pPr>
        <w:widowControl/>
        <w:numPr>
          <w:ilvl w:val="0"/>
          <w:numId w:val="1"/>
        </w:numPr>
        <w:shd w:val="clear" w:color="auto" w:fill="FFFFFF"/>
        <w:ind w:left="480"/>
        <w:rPr>
          <w:rFonts w:ascii="Tahoma" w:hAnsi="Tahoma" w:eastAsia="宋体" w:cs="Tahoma"/>
          <w:kern w:val="0"/>
          <w:sz w:val="28"/>
          <w:szCs w:val="28"/>
        </w:rPr>
      </w:pPr>
      <w:r>
        <w:fldChar w:fldCharType="begin"/>
      </w:r>
      <w:r>
        <w:instrText xml:space="preserve">HYPERLINK "http://www.cpvo.europa.eu/main/en/home/technical-examinations/technical-protocols/tp-ornamental-species" \t "_blank" </w:instrText>
      </w:r>
      <w:r>
        <w:fldChar w:fldCharType="separate"/>
      </w:r>
      <w:r>
        <w:rPr>
          <w:rFonts w:ascii="Tahoma" w:hAnsi="Tahoma" w:eastAsia="宋体" w:cs="Tahoma"/>
          <w:b/>
          <w:bCs/>
          <w:kern w:val="0"/>
          <w:sz w:val="28"/>
          <w:szCs w:val="28"/>
          <w:u w:val="single"/>
        </w:rPr>
        <w:t>TP Ornamental species</w:t>
      </w:r>
      <w:r>
        <w:fldChar w:fldCharType="end"/>
      </w:r>
      <w:r>
        <w:rPr>
          <w:rFonts w:ascii="Tahoma" w:hAnsi="Tahoma" w:eastAsia="宋体" w:cs="Tahoma"/>
          <w:kern w:val="0"/>
          <w:sz w:val="28"/>
          <w:szCs w:val="28"/>
        </w:rPr>
        <w:t>（花卉）</w:t>
      </w:r>
    </w:p>
    <w:p>
      <w:pPr>
        <w:widowControl/>
        <w:numPr>
          <w:ilvl w:val="0"/>
          <w:numId w:val="1"/>
        </w:numPr>
        <w:shd w:val="clear" w:color="auto" w:fill="FFFFFF"/>
        <w:ind w:left="480"/>
        <w:rPr>
          <w:rFonts w:ascii="Tahoma" w:hAnsi="Tahoma" w:eastAsia="宋体" w:cs="Tahoma"/>
          <w:kern w:val="0"/>
          <w:sz w:val="28"/>
          <w:szCs w:val="28"/>
        </w:rPr>
      </w:pPr>
      <w:r>
        <w:fldChar w:fldCharType="begin"/>
      </w:r>
      <w:r>
        <w:instrText xml:space="preserve">HYPERLINK "http://www.cpvo.europa.eu/main/en/home/technical-examinations/technical-protocols/tp-fruit-species" \t "_blank" </w:instrText>
      </w:r>
      <w:r>
        <w:fldChar w:fldCharType="separate"/>
      </w:r>
      <w:r>
        <w:rPr>
          <w:rFonts w:ascii="Tahoma" w:hAnsi="Tahoma" w:eastAsia="宋体" w:cs="Tahoma"/>
          <w:b/>
          <w:bCs/>
          <w:kern w:val="0"/>
          <w:sz w:val="28"/>
          <w:szCs w:val="28"/>
          <w:u w:val="single"/>
        </w:rPr>
        <w:t>TP Fruit species</w:t>
      </w:r>
      <w:r>
        <w:fldChar w:fldCharType="end"/>
      </w:r>
      <w:r>
        <w:rPr>
          <w:rFonts w:ascii="Tahoma" w:hAnsi="Tahoma" w:eastAsia="宋体" w:cs="Tahoma"/>
          <w:kern w:val="0"/>
          <w:sz w:val="28"/>
          <w:szCs w:val="28"/>
        </w:rPr>
        <w:t>（果树）</w:t>
      </w:r>
    </w:p>
    <w:p>
      <w:pPr>
        <w:widowControl/>
        <w:numPr>
          <w:ilvl w:val="0"/>
          <w:numId w:val="1"/>
        </w:numPr>
        <w:shd w:val="clear" w:color="auto" w:fill="FFFFFF"/>
        <w:ind w:left="480"/>
        <w:rPr>
          <w:rFonts w:ascii="Tahoma" w:hAnsi="Tahoma" w:eastAsia="宋体" w:cs="Tahoma"/>
          <w:kern w:val="0"/>
          <w:sz w:val="28"/>
          <w:szCs w:val="28"/>
        </w:rPr>
      </w:pPr>
      <w:r>
        <w:fldChar w:fldCharType="begin"/>
      </w:r>
      <w:r>
        <w:instrText xml:space="preserve">HYPERLINK "http://www.cpvo.europa.eu/main/en/home/technical-examinations/technical-protocols/tp-vegetable-species" \t "_blank" </w:instrText>
      </w:r>
      <w:r>
        <w:fldChar w:fldCharType="separate"/>
      </w:r>
      <w:r>
        <w:rPr>
          <w:rFonts w:ascii="Tahoma" w:hAnsi="Tahoma" w:eastAsia="宋体" w:cs="Tahoma"/>
          <w:b/>
          <w:bCs/>
          <w:kern w:val="0"/>
          <w:sz w:val="28"/>
          <w:szCs w:val="28"/>
          <w:u w:val="single"/>
        </w:rPr>
        <w:t>TP Vegetable species</w:t>
      </w:r>
      <w:r>
        <w:fldChar w:fldCharType="end"/>
      </w:r>
      <w:r>
        <w:rPr>
          <w:rFonts w:ascii="Tahoma" w:hAnsi="Tahoma" w:eastAsia="宋体" w:cs="Tahoma"/>
          <w:kern w:val="0"/>
          <w:sz w:val="28"/>
          <w:szCs w:val="28"/>
        </w:rPr>
        <w:t>（蔬菜）</w:t>
      </w:r>
    </w:p>
    <w:p>
      <w:pPr>
        <w:widowControl/>
        <w:shd w:val="clear" w:color="auto" w:fill="FFFFFF"/>
        <w:spacing w:line="345" w:lineRule="atLeast"/>
        <w:jc w:val="left"/>
        <w:rPr>
          <w:rFonts w:ascii="Arial" w:hAnsi="Arial" w:eastAsia="宋体" w:cs="Arial"/>
          <w:kern w:val="0"/>
          <w:szCs w:val="21"/>
        </w:rPr>
      </w:pPr>
      <w:r>
        <w:rPr>
          <w:rFonts w:ascii="Arial" w:hAnsi="Arial" w:eastAsia="宋体" w:cs="Arial"/>
          <w:kern w:val="0"/>
          <w:szCs w:val="21"/>
        </w:rPr>
        <w:t>       </w:t>
      </w:r>
    </w:p>
    <w:p>
      <w:pPr>
        <w:widowControl/>
        <w:shd w:val="clear" w:color="auto" w:fill="FFFFFF"/>
        <w:spacing w:line="345" w:lineRule="atLeast"/>
        <w:jc w:val="left"/>
        <w:rPr>
          <w:rFonts w:ascii="黑体" w:hAnsi="黑体" w:eastAsia="黑体" w:cs="Arial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黑体" w:hAnsi="黑体" w:eastAsia="黑体" w:cs="宋体"/>
          <w:kern w:val="0"/>
          <w:sz w:val="32"/>
          <w:szCs w:val="32"/>
        </w:rPr>
        <w:t>3、</w:t>
      </w:r>
      <w:r>
        <w:rPr>
          <w:rFonts w:ascii="黑体" w:hAnsi="黑体" w:eastAsia="黑体" w:cs="Arial"/>
          <w:kern w:val="0"/>
          <w:sz w:val="32"/>
          <w:szCs w:val="32"/>
        </w:rPr>
        <w:t>日本：（查询链接）</w:t>
      </w:r>
    </w:p>
    <w:p>
      <w:pPr>
        <w:widowControl/>
        <w:shd w:val="clear" w:color="auto" w:fill="FFFFFF"/>
        <w:spacing w:line="345" w:lineRule="atLeast"/>
        <w:jc w:val="left"/>
        <w:rPr>
          <w:rFonts w:ascii="Arial" w:hAnsi="Arial" w:eastAsia="宋体" w:cs="Arial"/>
          <w:kern w:val="0"/>
          <w:sz w:val="28"/>
          <w:szCs w:val="28"/>
        </w:rPr>
      </w:pPr>
      <w:r>
        <w:fldChar w:fldCharType="begin"/>
      </w:r>
      <w:r>
        <w:instrText xml:space="preserve">HYPERLINK "http://www.hinsyu.maff.go.jp/info/sinsakijun/botanical_taxon.html" \t "_blank" </w:instrText>
      </w:r>
      <w:r>
        <w:fldChar w:fldCharType="separate"/>
      </w:r>
      <w:r>
        <w:rPr>
          <w:rFonts w:ascii="Arial" w:hAnsi="Arial" w:eastAsia="宋体" w:cs="Arial"/>
          <w:kern w:val="0"/>
          <w:sz w:val="28"/>
          <w:szCs w:val="28"/>
          <w:u w:val="single"/>
        </w:rPr>
        <w:t>http://www.hinsyu.maff.go.jp/info/sinsakijun/botanical_taxon.html</w:t>
      </w:r>
      <w:r>
        <w:fldChar w:fldCharType="end"/>
      </w:r>
      <w:r>
        <w:rPr>
          <w:rFonts w:ascii="Arial" w:hAnsi="Arial" w:eastAsia="宋体" w:cs="Arial"/>
          <w:kern w:val="0"/>
          <w:sz w:val="28"/>
          <w:szCs w:val="28"/>
        </w:rPr>
        <w:t> </w:t>
      </w:r>
    </w:p>
    <w:p/>
    <w:p/>
    <w:p>
      <w:pPr>
        <w:spacing w:before="312" w:beforeLines="100"/>
        <w:ind w:firstLine="640" w:firstLineChars="200"/>
        <w:rPr>
          <w:rFonts w:hint="eastAsia" w:ascii="仿宋" w:hAnsi="仿宋" w:eastAsia="仿宋" w:cs="Times New Roman"/>
          <w:sz w:val="32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79724656">
    <w:nsid w:val="10AC4270"/>
    <w:multiLevelType w:val="multilevel"/>
    <w:tmpl w:val="10AC4270"/>
    <w:lvl w:ilvl="0" w:tentative="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27972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C2582"/>
    <w:rsid w:val="000306ED"/>
    <w:rsid w:val="00036D57"/>
    <w:rsid w:val="00060894"/>
    <w:rsid w:val="000651FA"/>
    <w:rsid w:val="00065D2E"/>
    <w:rsid w:val="00076FE7"/>
    <w:rsid w:val="000810D2"/>
    <w:rsid w:val="000A2916"/>
    <w:rsid w:val="000A396D"/>
    <w:rsid w:val="000F24F1"/>
    <w:rsid w:val="0010561A"/>
    <w:rsid w:val="001474EB"/>
    <w:rsid w:val="00154A41"/>
    <w:rsid w:val="0016161F"/>
    <w:rsid w:val="00161CD8"/>
    <w:rsid w:val="001A3CAF"/>
    <w:rsid w:val="001A6C27"/>
    <w:rsid w:val="001B0437"/>
    <w:rsid w:val="001B6104"/>
    <w:rsid w:val="001D475E"/>
    <w:rsid w:val="001F334F"/>
    <w:rsid w:val="00211799"/>
    <w:rsid w:val="00226EF3"/>
    <w:rsid w:val="002415DC"/>
    <w:rsid w:val="002455B8"/>
    <w:rsid w:val="0024683D"/>
    <w:rsid w:val="00260E70"/>
    <w:rsid w:val="002C08A9"/>
    <w:rsid w:val="002C1814"/>
    <w:rsid w:val="002D68C0"/>
    <w:rsid w:val="00312CF6"/>
    <w:rsid w:val="00322DFD"/>
    <w:rsid w:val="00325DF4"/>
    <w:rsid w:val="003449F2"/>
    <w:rsid w:val="003914F7"/>
    <w:rsid w:val="003A5B67"/>
    <w:rsid w:val="003B0762"/>
    <w:rsid w:val="003C6EEB"/>
    <w:rsid w:val="003D19B6"/>
    <w:rsid w:val="003F7E23"/>
    <w:rsid w:val="00402A0D"/>
    <w:rsid w:val="00415E94"/>
    <w:rsid w:val="00433007"/>
    <w:rsid w:val="00451924"/>
    <w:rsid w:val="0046631E"/>
    <w:rsid w:val="0048215C"/>
    <w:rsid w:val="00490D50"/>
    <w:rsid w:val="004B00A7"/>
    <w:rsid w:val="004C21C5"/>
    <w:rsid w:val="004C407C"/>
    <w:rsid w:val="004C53B8"/>
    <w:rsid w:val="004D69A9"/>
    <w:rsid w:val="004E5F35"/>
    <w:rsid w:val="004F2505"/>
    <w:rsid w:val="00505C6B"/>
    <w:rsid w:val="00525C5B"/>
    <w:rsid w:val="005466BE"/>
    <w:rsid w:val="005579BD"/>
    <w:rsid w:val="005813C8"/>
    <w:rsid w:val="00587F15"/>
    <w:rsid w:val="005C05D6"/>
    <w:rsid w:val="005D476D"/>
    <w:rsid w:val="00613ECE"/>
    <w:rsid w:val="00632144"/>
    <w:rsid w:val="00657391"/>
    <w:rsid w:val="006725BD"/>
    <w:rsid w:val="00674D4F"/>
    <w:rsid w:val="006C2582"/>
    <w:rsid w:val="00704A28"/>
    <w:rsid w:val="00787674"/>
    <w:rsid w:val="007B10A4"/>
    <w:rsid w:val="007B238D"/>
    <w:rsid w:val="007B30BA"/>
    <w:rsid w:val="007C634C"/>
    <w:rsid w:val="007D75B5"/>
    <w:rsid w:val="007F20C3"/>
    <w:rsid w:val="007F78BC"/>
    <w:rsid w:val="0086111E"/>
    <w:rsid w:val="008613DD"/>
    <w:rsid w:val="0087491A"/>
    <w:rsid w:val="008844CB"/>
    <w:rsid w:val="008E3F52"/>
    <w:rsid w:val="008F12E3"/>
    <w:rsid w:val="00900AC1"/>
    <w:rsid w:val="009017E4"/>
    <w:rsid w:val="00924C45"/>
    <w:rsid w:val="009314DA"/>
    <w:rsid w:val="00934B53"/>
    <w:rsid w:val="00973215"/>
    <w:rsid w:val="00995AED"/>
    <w:rsid w:val="009D570F"/>
    <w:rsid w:val="009F3546"/>
    <w:rsid w:val="00A5708F"/>
    <w:rsid w:val="00A67287"/>
    <w:rsid w:val="00A80B59"/>
    <w:rsid w:val="00AA170B"/>
    <w:rsid w:val="00AB1576"/>
    <w:rsid w:val="00AC69ED"/>
    <w:rsid w:val="00AD268C"/>
    <w:rsid w:val="00AE10E6"/>
    <w:rsid w:val="00B40AE6"/>
    <w:rsid w:val="00B522A8"/>
    <w:rsid w:val="00B57A15"/>
    <w:rsid w:val="00BA091E"/>
    <w:rsid w:val="00C107F9"/>
    <w:rsid w:val="00C95532"/>
    <w:rsid w:val="00CC5141"/>
    <w:rsid w:val="00CD1FBA"/>
    <w:rsid w:val="00D06A8C"/>
    <w:rsid w:val="00D12308"/>
    <w:rsid w:val="00D13A85"/>
    <w:rsid w:val="00D202DE"/>
    <w:rsid w:val="00D61313"/>
    <w:rsid w:val="00D66D64"/>
    <w:rsid w:val="00D84F72"/>
    <w:rsid w:val="00DC48DF"/>
    <w:rsid w:val="00DD02BF"/>
    <w:rsid w:val="00DD2E4D"/>
    <w:rsid w:val="00DE5DE7"/>
    <w:rsid w:val="00E30F16"/>
    <w:rsid w:val="00E46F30"/>
    <w:rsid w:val="00E56A19"/>
    <w:rsid w:val="00F0104A"/>
    <w:rsid w:val="00F07F3C"/>
    <w:rsid w:val="00F34FF5"/>
    <w:rsid w:val="00FF0FF5"/>
    <w:rsid w:val="35A54334"/>
    <w:rsid w:val="45482E1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227</Words>
  <Characters>1298</Characters>
  <Lines>10</Lines>
  <Paragraphs>3</Paragraphs>
  <ScaleCrop>false</ScaleCrop>
  <LinksUpToDate>false</LinksUpToDate>
  <CharactersWithSpaces>0</CharactersWithSpaces>
  <Application>WPS Office 个人版_9.1.0.4994_{F1E327BC-269C-435d-A152-05C5408002CA}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2015-04-14T06:26:00Z</dcterms:created>
  <dc:creator>徐岩</dc:creator>
  <cp:lastModifiedBy>Administrator</cp:lastModifiedBy>
  <cp:lastPrinted>2015-04-17T08:35:00Z</cp:lastPrinted>
  <dcterms:modified xsi:type="dcterms:W3CDTF">2015-04-22T05:35:24Z</dcterms:modified>
  <dc:title>农科测试 [2015] 32 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