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66" w:rsidRDefault="00A20366" w:rsidP="00074E10">
      <w:pPr>
        <w:pStyle w:val="a4"/>
        <w:ind w:left="420" w:firstLineChars="0" w:firstLine="0"/>
      </w:pPr>
    </w:p>
    <w:p w:rsidR="00263F9F" w:rsidRDefault="00563C0A" w:rsidP="00263F9F">
      <w:pPr>
        <w:pStyle w:val="a4"/>
        <w:ind w:left="420" w:firstLineChars="0" w:firstLine="0"/>
        <w:jc w:val="center"/>
        <w:rPr>
          <w:rFonts w:ascii="宋体" w:eastAsia="宋体" w:hAnsi="宋体" w:cs="宋体"/>
          <w:b/>
          <w:bCs/>
          <w:kern w:val="0"/>
          <w:sz w:val="32"/>
          <w:szCs w:val="32"/>
        </w:rPr>
      </w:pPr>
      <w:r>
        <w:rPr>
          <w:rFonts w:ascii="宋体" w:eastAsia="宋体" w:hAnsi="宋体" w:cs="宋体" w:hint="eastAsia"/>
          <w:b/>
          <w:bCs/>
          <w:kern w:val="0"/>
          <w:sz w:val="32"/>
          <w:szCs w:val="32"/>
        </w:rPr>
        <w:t>2016年度</w:t>
      </w:r>
      <w:r w:rsidRPr="00563C0A">
        <w:rPr>
          <w:rFonts w:ascii="宋体" w:eastAsia="宋体" w:hAnsi="宋体" w:cs="宋体" w:hint="eastAsia"/>
          <w:b/>
          <w:bCs/>
          <w:kern w:val="0"/>
          <w:sz w:val="32"/>
          <w:szCs w:val="32"/>
        </w:rPr>
        <w:t>中央高校基本科研业务费自主创新重点项目</w:t>
      </w:r>
      <w:r w:rsidR="00263F9F" w:rsidRPr="00263F9F">
        <w:rPr>
          <w:rFonts w:ascii="宋体" w:eastAsia="宋体" w:hAnsi="宋体" w:cs="宋体" w:hint="eastAsia"/>
          <w:b/>
          <w:bCs/>
          <w:kern w:val="0"/>
          <w:sz w:val="32"/>
          <w:szCs w:val="32"/>
        </w:rPr>
        <w:t>拟立项项目清单</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488"/>
        <w:gridCol w:w="8736"/>
        <w:gridCol w:w="1287"/>
        <w:gridCol w:w="1362"/>
      </w:tblGrid>
      <w:tr w:rsidR="002D3BA8" w:rsidRPr="0067154B" w:rsidTr="002D3BA8">
        <w:trPr>
          <w:trHeight w:val="20"/>
          <w:jc w:val="center"/>
        </w:trPr>
        <w:tc>
          <w:tcPr>
            <w:tcW w:w="209" w:type="pct"/>
            <w:shd w:val="clear" w:color="auto" w:fill="auto"/>
            <w:vAlign w:val="center"/>
            <w:hideMark/>
          </w:tcPr>
          <w:p w:rsidR="002D3BA8" w:rsidRPr="002D3BA8" w:rsidRDefault="002D3BA8" w:rsidP="002D3BA8">
            <w:pPr>
              <w:widowControl/>
              <w:jc w:val="center"/>
              <w:rPr>
                <w:rFonts w:ascii="宋体" w:eastAsia="宋体" w:hAnsi="宋体" w:cs="宋体"/>
                <w:b/>
                <w:kern w:val="0"/>
                <w:sz w:val="24"/>
                <w:szCs w:val="24"/>
              </w:rPr>
            </w:pPr>
            <w:r w:rsidRPr="002D3BA8">
              <w:rPr>
                <w:rFonts w:ascii="宋体" w:eastAsia="宋体" w:hAnsi="宋体" w:cs="宋体" w:hint="eastAsia"/>
                <w:b/>
                <w:kern w:val="0"/>
                <w:sz w:val="24"/>
                <w:szCs w:val="24"/>
              </w:rPr>
              <w:t>序号</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b/>
                <w:kern w:val="0"/>
                <w:sz w:val="24"/>
                <w:szCs w:val="24"/>
              </w:rPr>
            </w:pPr>
            <w:r w:rsidRPr="002D3BA8">
              <w:rPr>
                <w:rFonts w:ascii="宋体" w:eastAsia="宋体" w:hAnsi="宋体" w:cs="宋体" w:hint="eastAsia"/>
                <w:b/>
                <w:kern w:val="0"/>
                <w:sz w:val="24"/>
                <w:szCs w:val="24"/>
              </w:rPr>
              <w:t>项目负责人</w:t>
            </w:r>
          </w:p>
        </w:tc>
        <w:tc>
          <w:tcPr>
            <w:tcW w:w="3251" w:type="pct"/>
            <w:shd w:val="clear" w:color="auto" w:fill="auto"/>
            <w:vAlign w:val="center"/>
            <w:hideMark/>
          </w:tcPr>
          <w:p w:rsidR="002D3BA8" w:rsidRPr="002D3BA8" w:rsidRDefault="002D3BA8" w:rsidP="002D3BA8">
            <w:pPr>
              <w:widowControl/>
              <w:jc w:val="center"/>
              <w:rPr>
                <w:rFonts w:ascii="宋体" w:eastAsia="宋体" w:hAnsi="宋体" w:cs="宋体" w:hint="eastAsia"/>
                <w:b/>
                <w:kern w:val="0"/>
                <w:sz w:val="24"/>
                <w:szCs w:val="24"/>
              </w:rPr>
            </w:pPr>
            <w:r w:rsidRPr="002D3BA8">
              <w:rPr>
                <w:rFonts w:ascii="宋体" w:eastAsia="宋体" w:hAnsi="宋体" w:cs="宋体" w:hint="eastAsia"/>
                <w:b/>
                <w:kern w:val="0"/>
                <w:sz w:val="24"/>
                <w:szCs w:val="24"/>
              </w:rPr>
              <w:t>项目名称</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b/>
                <w:kern w:val="0"/>
                <w:sz w:val="24"/>
                <w:szCs w:val="24"/>
              </w:rPr>
            </w:pPr>
            <w:r w:rsidRPr="002D3BA8">
              <w:rPr>
                <w:rFonts w:ascii="宋体" w:eastAsia="宋体" w:hAnsi="宋体" w:cs="宋体" w:hint="eastAsia"/>
                <w:b/>
                <w:kern w:val="0"/>
                <w:sz w:val="24"/>
                <w:szCs w:val="24"/>
              </w:rPr>
              <w:t>资助额度（万元）</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b/>
                <w:kern w:val="0"/>
                <w:sz w:val="24"/>
                <w:szCs w:val="24"/>
              </w:rPr>
            </w:pPr>
            <w:r w:rsidRPr="002D3BA8">
              <w:rPr>
                <w:rFonts w:ascii="宋体" w:eastAsia="宋体" w:hAnsi="宋体" w:cs="宋体" w:hint="eastAsia"/>
                <w:b/>
                <w:kern w:val="0"/>
                <w:sz w:val="24"/>
                <w:szCs w:val="24"/>
              </w:rPr>
              <w:t>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曹爱忠</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基于RenSeq-PacBio技术高通量发掘和克隆簇毛麦NLRs类抗病基因</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25</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农学院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刘小军</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长江下游稻作区水稻临界氮浓度稀释模型及追氮调控方法研究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25</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农学院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李  凯</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大豆花叶病毒抗病基因Rsc15的克隆及功能鉴定</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农学院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王  慧</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基于进化分析和关联分析探索茉莉酸介导的大豆抗虫性的遗传控制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农学院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顾婷婷</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组织特异性草莓果肉细胞分离及其染色质结构的调控机制研究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园艺院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王海滨</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菊花脑多倍体化过程中</w:t>
            </w:r>
            <w:r w:rsidRPr="002D3BA8">
              <w:rPr>
                <w:rFonts w:ascii="Cambria" w:eastAsia="宋体" w:hAnsi="Cambria" w:cs="宋体"/>
                <w:kern w:val="0"/>
                <w:sz w:val="24"/>
                <w:szCs w:val="24"/>
              </w:rPr>
              <w:t>CnPCF12</w:t>
            </w:r>
            <w:r w:rsidRPr="002D3BA8">
              <w:rPr>
                <w:rFonts w:ascii="宋体" w:eastAsia="宋体" w:hAnsi="宋体" w:cs="宋体" w:hint="eastAsia"/>
                <w:kern w:val="0"/>
                <w:sz w:val="24"/>
                <w:szCs w:val="24"/>
              </w:rPr>
              <w:t>调控花瓣生长的分子机理研究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园艺院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7</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黄小三</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杜梨</w:t>
            </w:r>
            <w:r w:rsidRPr="002D3BA8">
              <w:rPr>
                <w:rFonts w:ascii="Cambria" w:eastAsia="宋体" w:hAnsi="Cambria" w:cs="宋体"/>
                <w:kern w:val="0"/>
                <w:sz w:val="24"/>
                <w:szCs w:val="24"/>
              </w:rPr>
              <w:t>PuNHX1</w:t>
            </w:r>
            <w:r w:rsidRPr="002D3BA8">
              <w:rPr>
                <w:rFonts w:ascii="宋体" w:eastAsia="宋体" w:hAnsi="宋体" w:cs="宋体" w:hint="eastAsia"/>
                <w:kern w:val="0"/>
                <w:sz w:val="24"/>
                <w:szCs w:val="24"/>
              </w:rPr>
              <w:t>基因的功能鉴定及其抗盐机理</w:t>
            </w:r>
            <w:bookmarkStart w:id="0" w:name="_GoBack"/>
            <w:bookmarkEnd w:id="0"/>
            <w:r w:rsidRPr="002D3BA8">
              <w:rPr>
                <w:rFonts w:ascii="宋体" w:eastAsia="宋体" w:hAnsi="宋体" w:cs="宋体" w:hint="eastAsia"/>
                <w:kern w:val="0"/>
                <w:sz w:val="24"/>
                <w:szCs w:val="24"/>
              </w:rPr>
              <w:t>解析</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园艺院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8</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汪涛</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药用菊花花期水分调节对其咖啡酸衍生物类成分合成途径的影响</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园艺院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9</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蒋芳玲</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利用连锁作图解释番茄角质层裂的遗传机理</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园艺院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韩凝玉</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传播学视阈下景观设计的传播效果机制研究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园艺院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11</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顾沁</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Pal信号途径调控轮枝镰刀菌致病和伏马毒素合成的分子机制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植保院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12</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严威</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多节孢属真菌中新抗菌化合物的发现及生物合成研究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植保院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13</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钱国良</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产酶溶杆菌中一堆独特的双组份系统调控抗菌物质合成的机理研究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植保院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14</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孙荆涛</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灰飞虱线粒体多样性地理分布受环境选择的遗传机制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植保院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15</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王暄</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南方根结线虫VAP效应分子功能研究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植保院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16</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闫祺</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二点委夜蛾性信息素的鉴定及应用研究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植保院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17</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张峰</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鳞跳科的整合分类和系统发育研究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植保院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18</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华修德</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噬菌体展示多肽竞争物的纳米化及活性机理研究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植保院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19</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丁大虎</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α-Fe2O3负载生物质炭可见光催化降解抗生素研究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资环院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20</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郭辉</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青藏高原长期养分添加对土壤微生物呼吸及其温度敏感性的影响</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资环院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lastRenderedPageBreak/>
              <w:t>21</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刘树伟</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高效减排好氧堆肥体系功能菌群特征及协同机制研究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资环院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22</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刘晓雨</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大气二氧化碳浓度和温度升高对稻麦轮作系统土壤-作物相互作用的影响研究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资环院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23</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隆小华</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海陆过渡带农渔融合种养技术集成创新与示范</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资环院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24</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汪鹏</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根际重金属形态转化过程研究方法的建立</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资环院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25</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王敏</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黄瓜枯萎病毒素产生过程及其作用机理</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资环院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26</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徐莉</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多环芳烃和抗生素复合污染土壤的化学-微生物联合修复及机制研究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资环院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27</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邹山梅</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几种微藻响应氮磷胁迫的分子调控机制研究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资环院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28</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陆钟岩</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增强瘤胃上皮物质转运功能，促进山羊生长减少环境污染的研究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动医院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29</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吕英军</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STING在猪圆环病毒2型感染中的作用及机制研究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动医院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30</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马喆</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荚膜及FicSEZ毒力因子在马链球菌兽疫亚种破换猪呼吸道上皮屏障中的作用机制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动医院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31</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宋小凯</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鸡球虫T细胞刺激抗原的筛选及其功能研究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动医院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32</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闫丽萍</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流感病毒聚合酶复合体保真性研究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15</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动医院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33</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粟硕</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H3N8马流感感染犬动物模型及外植体模型的建立</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25</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动医院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34</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冯秀丽</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新型法氏囊活性肽调节T细胞功能及机制研究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动医院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35</w:t>
            </w:r>
          </w:p>
        </w:tc>
        <w:tc>
          <w:tcPr>
            <w:tcW w:w="554"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color w:val="000000"/>
                <w:kern w:val="0"/>
                <w:sz w:val="22"/>
              </w:rPr>
            </w:pPr>
            <w:r w:rsidRPr="002D3BA8">
              <w:rPr>
                <w:rFonts w:ascii="宋体" w:eastAsia="宋体" w:hAnsi="宋体" w:cs="Times New Roman" w:hint="eastAsia"/>
                <w:color w:val="000000"/>
                <w:kern w:val="0"/>
                <w:sz w:val="22"/>
              </w:rPr>
              <w:t>黄星</w:t>
            </w:r>
          </w:p>
        </w:tc>
        <w:tc>
          <w:tcPr>
            <w:tcW w:w="3251" w:type="pct"/>
            <w:shd w:val="clear" w:color="auto" w:fill="auto"/>
            <w:vAlign w:val="center"/>
            <w:hideMark/>
          </w:tcPr>
          <w:p w:rsidR="002D3BA8" w:rsidRPr="002D3BA8" w:rsidRDefault="002D3BA8" w:rsidP="002D3BA8">
            <w:pPr>
              <w:widowControl/>
              <w:rPr>
                <w:rFonts w:ascii="Times New Roman" w:eastAsia="宋体" w:hAnsi="Times New Roman" w:cs="Times New Roman"/>
                <w:color w:val="000000"/>
                <w:kern w:val="0"/>
                <w:sz w:val="22"/>
              </w:rPr>
            </w:pPr>
            <w:r w:rsidRPr="002D3BA8">
              <w:rPr>
                <w:rFonts w:ascii="Times New Roman" w:eastAsia="宋体" w:hAnsi="Times New Roman" w:cs="Times New Roman"/>
                <w:i/>
                <w:iCs/>
                <w:color w:val="000000"/>
                <w:kern w:val="0"/>
                <w:sz w:val="22"/>
              </w:rPr>
              <w:t>Hansschlegelia zhihuaiae</w:t>
            </w:r>
            <w:r w:rsidRPr="002D3BA8">
              <w:rPr>
                <w:rFonts w:ascii="Times New Roman" w:eastAsia="宋体" w:hAnsi="Times New Roman" w:cs="Times New Roman"/>
                <w:color w:val="000000"/>
                <w:kern w:val="0"/>
                <w:sz w:val="22"/>
              </w:rPr>
              <w:t xml:space="preserve"> S113</w:t>
            </w:r>
            <w:r w:rsidRPr="002D3BA8">
              <w:rPr>
                <w:rFonts w:ascii="Times New Roman" w:eastAsia="宋体" w:hAnsi="Times New Roman" w:cs="Times New Roman"/>
                <w:color w:val="000000"/>
                <w:kern w:val="0"/>
                <w:sz w:val="22"/>
                <w:vertAlign w:val="superscript"/>
              </w:rPr>
              <w:t>T</w:t>
            </w:r>
            <w:r w:rsidRPr="002D3BA8">
              <w:rPr>
                <w:rFonts w:ascii="宋体" w:eastAsia="宋体" w:hAnsi="宋体" w:cs="Times New Roman" w:hint="eastAsia"/>
                <w:color w:val="000000"/>
                <w:kern w:val="0"/>
                <w:sz w:val="22"/>
              </w:rPr>
              <w:t>降玉米根际氯嘧磺隆残留机制的研究</w:t>
            </w:r>
          </w:p>
        </w:tc>
        <w:tc>
          <w:tcPr>
            <w:tcW w:w="479" w:type="pct"/>
            <w:shd w:val="clear" w:color="auto" w:fill="auto"/>
            <w:noWrap/>
            <w:vAlign w:val="center"/>
            <w:hideMark/>
          </w:tcPr>
          <w:p w:rsidR="002D3BA8" w:rsidRPr="002D3BA8" w:rsidRDefault="002D3BA8" w:rsidP="002D3BA8">
            <w:pPr>
              <w:widowControl/>
              <w:jc w:val="center"/>
              <w:rPr>
                <w:rFonts w:ascii="Times New Roman" w:eastAsia="宋体" w:hAnsi="Times New Roman" w:cs="Times New Roman"/>
                <w:kern w:val="0"/>
                <w:sz w:val="22"/>
              </w:rPr>
            </w:pPr>
            <w:r w:rsidRPr="002D3BA8">
              <w:rPr>
                <w:rFonts w:ascii="Times New Roman" w:eastAsia="宋体" w:hAnsi="Times New Roman" w:cs="Times New Roman"/>
                <w:kern w:val="0"/>
                <w:sz w:val="22"/>
              </w:rPr>
              <w:t>15</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生科院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36</w:t>
            </w:r>
          </w:p>
        </w:tc>
        <w:tc>
          <w:tcPr>
            <w:tcW w:w="554"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color w:val="000000"/>
                <w:kern w:val="0"/>
                <w:sz w:val="22"/>
              </w:rPr>
            </w:pPr>
            <w:r w:rsidRPr="002D3BA8">
              <w:rPr>
                <w:rFonts w:ascii="宋体" w:eastAsia="宋体" w:hAnsi="宋体" w:cs="Times New Roman" w:hint="eastAsia"/>
                <w:color w:val="000000"/>
                <w:kern w:val="0"/>
                <w:sz w:val="22"/>
              </w:rPr>
              <w:t>娄来清</w:t>
            </w:r>
          </w:p>
        </w:tc>
        <w:tc>
          <w:tcPr>
            <w:tcW w:w="3251" w:type="pct"/>
            <w:shd w:val="clear" w:color="auto" w:fill="auto"/>
            <w:vAlign w:val="center"/>
            <w:hideMark/>
          </w:tcPr>
          <w:p w:rsidR="002D3BA8" w:rsidRPr="002D3BA8" w:rsidRDefault="002D3BA8" w:rsidP="002D3BA8">
            <w:pPr>
              <w:widowControl/>
              <w:rPr>
                <w:rFonts w:ascii="Times New Roman" w:eastAsia="宋体" w:hAnsi="Times New Roman" w:cs="Times New Roman"/>
                <w:color w:val="000000"/>
                <w:kern w:val="0"/>
                <w:sz w:val="22"/>
              </w:rPr>
            </w:pPr>
            <w:r w:rsidRPr="002D3BA8">
              <w:rPr>
                <w:rFonts w:ascii="宋体" w:eastAsia="宋体" w:hAnsi="宋体" w:cs="Times New Roman" w:hint="eastAsia"/>
                <w:color w:val="000000"/>
                <w:kern w:val="0"/>
                <w:sz w:val="22"/>
              </w:rPr>
              <w:t>硅转运蛋白阻遏低积累小麦籽粒砷积累的机制</w:t>
            </w:r>
          </w:p>
        </w:tc>
        <w:tc>
          <w:tcPr>
            <w:tcW w:w="479" w:type="pct"/>
            <w:shd w:val="clear" w:color="auto" w:fill="auto"/>
            <w:noWrap/>
            <w:vAlign w:val="center"/>
            <w:hideMark/>
          </w:tcPr>
          <w:p w:rsidR="002D3BA8" w:rsidRPr="002D3BA8" w:rsidRDefault="002D3BA8" w:rsidP="002D3BA8">
            <w:pPr>
              <w:widowControl/>
              <w:jc w:val="center"/>
              <w:rPr>
                <w:rFonts w:ascii="Times New Roman" w:eastAsia="宋体" w:hAnsi="Times New Roman" w:cs="Times New Roman"/>
                <w:kern w:val="0"/>
                <w:sz w:val="22"/>
              </w:rPr>
            </w:pPr>
            <w:r w:rsidRPr="002D3BA8">
              <w:rPr>
                <w:rFonts w:ascii="Times New Roman" w:eastAsia="宋体" w:hAnsi="Times New Roman" w:cs="Times New Roman"/>
                <w:kern w:val="0"/>
                <w:sz w:val="22"/>
              </w:rPr>
              <w:t>15</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生科院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37</w:t>
            </w:r>
          </w:p>
        </w:tc>
        <w:tc>
          <w:tcPr>
            <w:tcW w:w="554"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color w:val="000000"/>
                <w:kern w:val="0"/>
                <w:sz w:val="22"/>
              </w:rPr>
            </w:pPr>
            <w:r w:rsidRPr="002D3BA8">
              <w:rPr>
                <w:rFonts w:ascii="宋体" w:eastAsia="宋体" w:hAnsi="宋体" w:cs="Times New Roman" w:hint="eastAsia"/>
                <w:color w:val="000000"/>
                <w:kern w:val="0"/>
                <w:sz w:val="22"/>
              </w:rPr>
              <w:t>张阿英</w:t>
            </w:r>
          </w:p>
        </w:tc>
        <w:tc>
          <w:tcPr>
            <w:tcW w:w="3251" w:type="pct"/>
            <w:shd w:val="clear" w:color="auto" w:fill="auto"/>
            <w:vAlign w:val="center"/>
            <w:hideMark/>
          </w:tcPr>
          <w:p w:rsidR="002D3BA8" w:rsidRPr="002D3BA8" w:rsidRDefault="002D3BA8" w:rsidP="002D3BA8">
            <w:pPr>
              <w:widowControl/>
              <w:rPr>
                <w:rFonts w:ascii="Times New Roman" w:eastAsia="宋体" w:hAnsi="Times New Roman" w:cs="Times New Roman"/>
                <w:color w:val="000000"/>
                <w:kern w:val="0"/>
                <w:sz w:val="22"/>
              </w:rPr>
            </w:pPr>
            <w:r w:rsidRPr="002D3BA8">
              <w:rPr>
                <w:rFonts w:ascii="Times New Roman" w:eastAsia="宋体" w:hAnsi="Times New Roman" w:cs="Times New Roman"/>
                <w:color w:val="000000"/>
                <w:kern w:val="0"/>
                <w:sz w:val="22"/>
              </w:rPr>
              <w:t>ZmCCaMK</w:t>
            </w:r>
            <w:r w:rsidRPr="002D3BA8">
              <w:rPr>
                <w:rFonts w:ascii="宋体" w:eastAsia="宋体" w:hAnsi="宋体" w:cs="Times New Roman" w:hint="eastAsia"/>
                <w:color w:val="000000"/>
                <w:kern w:val="0"/>
                <w:sz w:val="22"/>
              </w:rPr>
              <w:t>与</w:t>
            </w:r>
            <w:r w:rsidRPr="002D3BA8">
              <w:rPr>
                <w:rFonts w:ascii="Times New Roman" w:eastAsia="宋体" w:hAnsi="Times New Roman" w:cs="Times New Roman"/>
                <w:color w:val="000000"/>
                <w:kern w:val="0"/>
                <w:sz w:val="22"/>
              </w:rPr>
              <w:t>ZmNAC</w:t>
            </w:r>
            <w:r w:rsidRPr="002D3BA8">
              <w:rPr>
                <w:rFonts w:ascii="宋体" w:eastAsia="宋体" w:hAnsi="宋体" w:cs="Times New Roman" w:hint="eastAsia"/>
                <w:color w:val="000000"/>
                <w:kern w:val="0"/>
                <w:sz w:val="22"/>
              </w:rPr>
              <w:t>相互作用在</w:t>
            </w:r>
            <w:r w:rsidRPr="002D3BA8">
              <w:rPr>
                <w:rFonts w:ascii="Times New Roman" w:eastAsia="宋体" w:hAnsi="Times New Roman" w:cs="Times New Roman"/>
                <w:color w:val="000000"/>
                <w:kern w:val="0"/>
                <w:sz w:val="22"/>
              </w:rPr>
              <w:t>ABA</w:t>
            </w:r>
            <w:r w:rsidRPr="002D3BA8">
              <w:rPr>
                <w:rFonts w:ascii="宋体" w:eastAsia="宋体" w:hAnsi="宋体" w:cs="Times New Roman" w:hint="eastAsia"/>
                <w:color w:val="000000"/>
                <w:kern w:val="0"/>
                <w:sz w:val="22"/>
              </w:rPr>
              <w:t>诱导抗氧化防护中的作用</w:t>
            </w:r>
          </w:p>
        </w:tc>
        <w:tc>
          <w:tcPr>
            <w:tcW w:w="479" w:type="pct"/>
            <w:shd w:val="clear" w:color="auto" w:fill="auto"/>
            <w:noWrap/>
            <w:vAlign w:val="center"/>
            <w:hideMark/>
          </w:tcPr>
          <w:p w:rsidR="002D3BA8" w:rsidRPr="002D3BA8" w:rsidRDefault="002D3BA8" w:rsidP="002D3BA8">
            <w:pPr>
              <w:widowControl/>
              <w:jc w:val="center"/>
              <w:rPr>
                <w:rFonts w:ascii="Times New Roman" w:eastAsia="宋体" w:hAnsi="Times New Roman" w:cs="Times New Roman"/>
                <w:kern w:val="0"/>
                <w:sz w:val="22"/>
              </w:rPr>
            </w:pPr>
            <w:r w:rsidRPr="002D3BA8">
              <w:rPr>
                <w:rFonts w:ascii="Times New Roman" w:eastAsia="宋体" w:hAnsi="Times New Roman" w:cs="Times New Roman"/>
                <w:kern w:val="0"/>
                <w:sz w:val="22"/>
              </w:rPr>
              <w:t>20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生科院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38</w:t>
            </w:r>
          </w:p>
        </w:tc>
        <w:tc>
          <w:tcPr>
            <w:tcW w:w="554"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color w:val="000000"/>
                <w:kern w:val="0"/>
                <w:sz w:val="22"/>
              </w:rPr>
            </w:pPr>
            <w:r w:rsidRPr="002D3BA8">
              <w:rPr>
                <w:rFonts w:ascii="宋体" w:eastAsia="宋体" w:hAnsi="宋体" w:cs="Times New Roman" w:hint="eastAsia"/>
                <w:color w:val="000000"/>
                <w:kern w:val="0"/>
                <w:sz w:val="22"/>
              </w:rPr>
              <w:t>严秀文</w:t>
            </w:r>
          </w:p>
        </w:tc>
        <w:tc>
          <w:tcPr>
            <w:tcW w:w="3251" w:type="pct"/>
            <w:shd w:val="clear" w:color="auto" w:fill="auto"/>
            <w:vAlign w:val="center"/>
            <w:hideMark/>
          </w:tcPr>
          <w:p w:rsidR="002D3BA8" w:rsidRPr="002D3BA8" w:rsidRDefault="002D3BA8" w:rsidP="002D3BA8">
            <w:pPr>
              <w:widowControl/>
              <w:rPr>
                <w:rFonts w:ascii="Times New Roman" w:eastAsia="宋体" w:hAnsi="Times New Roman" w:cs="Times New Roman"/>
                <w:color w:val="000000"/>
                <w:kern w:val="0"/>
                <w:sz w:val="22"/>
              </w:rPr>
            </w:pPr>
            <w:r w:rsidRPr="002D3BA8">
              <w:rPr>
                <w:rFonts w:ascii="Times New Roman" w:eastAsia="宋体" w:hAnsi="Times New Roman" w:cs="Times New Roman"/>
                <w:color w:val="000000"/>
                <w:kern w:val="0"/>
                <w:sz w:val="22"/>
              </w:rPr>
              <w:t>LL-37-mtDNA</w:t>
            </w:r>
            <w:r w:rsidRPr="002D3BA8">
              <w:rPr>
                <w:rFonts w:ascii="宋体" w:eastAsia="宋体" w:hAnsi="宋体" w:cs="Times New Roman" w:hint="eastAsia"/>
                <w:color w:val="000000"/>
                <w:kern w:val="0"/>
                <w:sz w:val="22"/>
              </w:rPr>
              <w:t>复合物诱导类风湿性关节炎发生的分子机制</w:t>
            </w:r>
          </w:p>
        </w:tc>
        <w:tc>
          <w:tcPr>
            <w:tcW w:w="479" w:type="pct"/>
            <w:shd w:val="clear" w:color="auto" w:fill="auto"/>
            <w:noWrap/>
            <w:vAlign w:val="center"/>
            <w:hideMark/>
          </w:tcPr>
          <w:p w:rsidR="002D3BA8" w:rsidRPr="002D3BA8" w:rsidRDefault="002D3BA8" w:rsidP="002D3BA8">
            <w:pPr>
              <w:widowControl/>
              <w:jc w:val="center"/>
              <w:rPr>
                <w:rFonts w:ascii="Times New Roman" w:eastAsia="宋体" w:hAnsi="Times New Roman" w:cs="Times New Roman"/>
                <w:kern w:val="0"/>
                <w:sz w:val="22"/>
              </w:rPr>
            </w:pPr>
            <w:r w:rsidRPr="002D3BA8">
              <w:rPr>
                <w:rFonts w:ascii="Times New Roman" w:eastAsia="宋体" w:hAnsi="Times New Roman" w:cs="Times New Roman"/>
                <w:kern w:val="0"/>
                <w:sz w:val="22"/>
              </w:rPr>
              <w:t>20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生科院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39</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韦伟</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HOXA11调节猪快慢肌差异分化的作用及表达调控机制研究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40</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温超</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蛋氨酸通过TOR信号通路调控肉鸡肌肉发育的研究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41</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张林</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基于糖酵解途径探讨胍基乙酸改善夏季长途运输肉鸡胸肉品质的机理</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42</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林焱</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仔猪肠道大肠杆菌噬菌体分布及其对肠道黏膜的保护作用研究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43</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王超</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自噬介导IUGR猪皮下脂肪沉积的机制研究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44</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潘增祥</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猪卵泡闭锁发生过程中miRNA-mRNA表达及其调控网络分析</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45</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李向飞</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RNA结合蛋白QK1介导的团头鲂胰岛素敏感性调控机制研究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动科院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lastRenderedPageBreak/>
              <w:t>46</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张明智</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Streptochlorin</w:t>
            </w:r>
            <w:r w:rsidRPr="002D3BA8">
              <w:rPr>
                <w:rFonts w:ascii="宋体" w:eastAsia="宋体" w:hAnsi="宋体" w:cs="宋体" w:hint="eastAsia"/>
                <w:kern w:val="0"/>
                <w:szCs w:val="21"/>
              </w:rPr>
              <w:t>类天然产物的结构优化及其杀菌活性研究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17</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理学院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47</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蒋红梅</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基于磁性碳凝胶的磁固相萃取技术及其汞形态分析应用</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14</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理学院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48</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张春永</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掺硼金刚石电催化过程中的电解质效应研究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14</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理学院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49</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安红利</w:t>
            </w:r>
          </w:p>
        </w:tc>
        <w:tc>
          <w:tcPr>
            <w:tcW w:w="3251" w:type="pct"/>
            <w:shd w:val="clear" w:color="auto" w:fill="auto"/>
            <w:noWrap/>
            <w:vAlign w:val="center"/>
            <w:hideMark/>
          </w:tcPr>
          <w:p w:rsidR="002D3BA8" w:rsidRPr="002D3BA8" w:rsidRDefault="002D3BA8" w:rsidP="002D3BA8">
            <w:pPr>
              <w:widowControl/>
              <w:rPr>
                <w:rFonts w:ascii="Calibri" w:eastAsia="宋体" w:hAnsi="Calibri" w:cs="宋体" w:hint="eastAsia"/>
                <w:kern w:val="0"/>
                <w:szCs w:val="21"/>
              </w:rPr>
            </w:pPr>
            <w:r w:rsidRPr="002D3BA8">
              <w:rPr>
                <w:rFonts w:ascii="Calibri" w:eastAsia="宋体" w:hAnsi="Calibri" w:cs="宋体"/>
                <w:kern w:val="0"/>
                <w:szCs w:val="21"/>
              </w:rPr>
              <w:t>Evmakov</w:t>
            </w:r>
            <w:r w:rsidRPr="002D3BA8">
              <w:rPr>
                <w:rFonts w:ascii="宋体" w:eastAsia="宋体" w:hAnsi="宋体" w:cs="宋体" w:hint="eastAsia"/>
                <w:kern w:val="0"/>
                <w:szCs w:val="21"/>
              </w:rPr>
              <w:t>系统与</w:t>
            </w:r>
            <w:r w:rsidRPr="002D3BA8">
              <w:rPr>
                <w:rFonts w:ascii="Calibri" w:eastAsia="宋体" w:hAnsi="Calibri" w:cs="宋体"/>
                <w:kern w:val="0"/>
                <w:szCs w:val="21"/>
              </w:rPr>
              <w:t>Hamilton</w:t>
            </w:r>
            <w:r w:rsidRPr="002D3BA8">
              <w:rPr>
                <w:rFonts w:ascii="宋体" w:eastAsia="宋体" w:hAnsi="宋体" w:cs="宋体" w:hint="eastAsia"/>
                <w:kern w:val="0"/>
                <w:szCs w:val="21"/>
              </w:rPr>
              <w:t>结构的研究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15</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理学院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50</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陈智</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组合序列的对数凸型研究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理学院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51</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Cs w:val="21"/>
              </w:rPr>
            </w:pPr>
            <w:r w:rsidRPr="002D3BA8">
              <w:rPr>
                <w:rFonts w:ascii="宋体" w:eastAsia="宋体" w:hAnsi="宋体" w:cs="宋体" w:hint="eastAsia"/>
                <w:kern w:val="0"/>
                <w:szCs w:val="21"/>
              </w:rPr>
              <w:t>刘</w:t>
            </w:r>
            <w:r w:rsidRPr="002D3BA8">
              <w:rPr>
                <w:rFonts w:ascii="Times New Roman" w:eastAsia="宋体" w:hAnsi="Times New Roman" w:cs="Times New Roman"/>
                <w:kern w:val="0"/>
                <w:szCs w:val="21"/>
              </w:rPr>
              <w:t xml:space="preserve">  </w:t>
            </w:r>
            <w:r w:rsidRPr="002D3BA8">
              <w:rPr>
                <w:rFonts w:ascii="宋体" w:eastAsia="宋体" w:hAnsi="宋体" w:cs="宋体" w:hint="eastAsia"/>
                <w:kern w:val="0"/>
                <w:szCs w:val="21"/>
              </w:rPr>
              <w:t>蓉</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Cs w:val="21"/>
              </w:rPr>
            </w:pPr>
            <w:r w:rsidRPr="002D3BA8">
              <w:rPr>
                <w:rFonts w:ascii="宋体" w:eastAsia="宋体" w:hAnsi="宋体" w:cs="宋体" w:hint="eastAsia"/>
                <w:kern w:val="0"/>
                <w:szCs w:val="21"/>
              </w:rPr>
              <w:t>细胞自噬调控葡萄膜黑色素瘤迁移的分子机制</w:t>
            </w:r>
          </w:p>
        </w:tc>
        <w:tc>
          <w:tcPr>
            <w:tcW w:w="479"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kern w:val="0"/>
                <w:szCs w:val="21"/>
              </w:rPr>
            </w:pPr>
            <w:r w:rsidRPr="002D3BA8">
              <w:rPr>
                <w:rFonts w:ascii="Times New Roman" w:eastAsia="宋体" w:hAnsi="Times New Roman" w:cs="Times New Roman"/>
                <w:kern w:val="0"/>
                <w:szCs w:val="21"/>
              </w:rPr>
              <w:t>20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食品院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52</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Cs w:val="21"/>
              </w:rPr>
            </w:pPr>
            <w:r w:rsidRPr="002D3BA8">
              <w:rPr>
                <w:rFonts w:ascii="宋体" w:eastAsia="宋体" w:hAnsi="宋体" w:cs="宋体" w:hint="eastAsia"/>
                <w:kern w:val="0"/>
                <w:szCs w:val="21"/>
              </w:rPr>
              <w:t>王</w:t>
            </w:r>
            <w:r w:rsidRPr="002D3BA8">
              <w:rPr>
                <w:rFonts w:ascii="Times New Roman" w:eastAsia="宋体" w:hAnsi="Times New Roman" w:cs="Times New Roman"/>
                <w:kern w:val="0"/>
                <w:szCs w:val="21"/>
              </w:rPr>
              <w:t xml:space="preserve">  </w:t>
            </w:r>
            <w:r w:rsidRPr="002D3BA8">
              <w:rPr>
                <w:rFonts w:ascii="宋体" w:eastAsia="宋体" w:hAnsi="宋体" w:cs="宋体" w:hint="eastAsia"/>
                <w:kern w:val="0"/>
                <w:szCs w:val="21"/>
              </w:rPr>
              <w:t>鹏</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Cs w:val="21"/>
              </w:rPr>
            </w:pPr>
            <w:r w:rsidRPr="002D3BA8">
              <w:rPr>
                <w:rFonts w:ascii="宋体" w:eastAsia="宋体" w:hAnsi="宋体" w:cs="宋体" w:hint="eastAsia"/>
                <w:kern w:val="0"/>
                <w:szCs w:val="21"/>
              </w:rPr>
              <w:t>基于分子模拟的肌球蛋白</w:t>
            </w:r>
            <w:r w:rsidRPr="002D3BA8">
              <w:rPr>
                <w:rFonts w:ascii="Times New Roman" w:eastAsia="宋体" w:hAnsi="Times New Roman" w:cs="Times New Roman"/>
                <w:kern w:val="0"/>
                <w:szCs w:val="21"/>
              </w:rPr>
              <w:t>-</w:t>
            </w:r>
            <w:r w:rsidRPr="002D3BA8">
              <w:rPr>
                <w:rFonts w:ascii="宋体" w:eastAsia="宋体" w:hAnsi="宋体" w:cs="宋体" w:hint="eastAsia"/>
                <w:kern w:val="0"/>
                <w:szCs w:val="21"/>
              </w:rPr>
              <w:t>脂溶性酚类物质自组装及递送体系构建研究</w:t>
            </w:r>
          </w:p>
        </w:tc>
        <w:tc>
          <w:tcPr>
            <w:tcW w:w="479"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kern w:val="0"/>
                <w:szCs w:val="21"/>
              </w:rPr>
            </w:pPr>
            <w:r w:rsidRPr="002D3BA8">
              <w:rPr>
                <w:rFonts w:ascii="Times New Roman" w:eastAsia="宋体" w:hAnsi="Times New Roman" w:cs="Times New Roman"/>
                <w:kern w:val="0"/>
                <w:szCs w:val="21"/>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食品院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53</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Cs w:val="21"/>
              </w:rPr>
            </w:pPr>
            <w:r w:rsidRPr="002D3BA8">
              <w:rPr>
                <w:rFonts w:ascii="宋体" w:eastAsia="宋体" w:hAnsi="宋体" w:cs="宋体" w:hint="eastAsia"/>
                <w:kern w:val="0"/>
                <w:szCs w:val="21"/>
              </w:rPr>
              <w:t>赵立艳</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Cs w:val="21"/>
              </w:rPr>
            </w:pPr>
            <w:r w:rsidRPr="002D3BA8">
              <w:rPr>
                <w:rFonts w:ascii="宋体" w:eastAsia="宋体" w:hAnsi="宋体" w:cs="宋体" w:hint="eastAsia"/>
                <w:kern w:val="0"/>
                <w:szCs w:val="21"/>
              </w:rPr>
              <w:t>食用菌中化学污染物高通量快速筛查技术研究</w:t>
            </w:r>
          </w:p>
        </w:tc>
        <w:tc>
          <w:tcPr>
            <w:tcW w:w="479"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kern w:val="0"/>
                <w:szCs w:val="21"/>
              </w:rPr>
            </w:pPr>
            <w:r w:rsidRPr="002D3BA8">
              <w:rPr>
                <w:rFonts w:ascii="Times New Roman" w:eastAsia="宋体" w:hAnsi="Times New Roman" w:cs="Times New Roman"/>
                <w:kern w:val="0"/>
                <w:szCs w:val="21"/>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食品院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54</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Cs w:val="21"/>
              </w:rPr>
            </w:pPr>
            <w:r w:rsidRPr="002D3BA8">
              <w:rPr>
                <w:rFonts w:ascii="宋体" w:eastAsia="宋体" w:hAnsi="宋体" w:cs="宋体" w:hint="eastAsia"/>
                <w:kern w:val="0"/>
                <w:szCs w:val="21"/>
              </w:rPr>
              <w:t>吴俊俊</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Cs w:val="21"/>
              </w:rPr>
            </w:pPr>
            <w:r w:rsidRPr="002D3BA8">
              <w:rPr>
                <w:rFonts w:ascii="宋体" w:eastAsia="宋体" w:hAnsi="宋体" w:cs="宋体" w:hint="eastAsia"/>
                <w:kern w:val="0"/>
                <w:szCs w:val="21"/>
              </w:rPr>
              <w:t>微生物法合成中链脂肪酸的调控机制研究</w:t>
            </w:r>
          </w:p>
        </w:tc>
        <w:tc>
          <w:tcPr>
            <w:tcW w:w="479"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kern w:val="0"/>
                <w:szCs w:val="21"/>
              </w:rPr>
            </w:pPr>
            <w:r w:rsidRPr="002D3BA8">
              <w:rPr>
                <w:rFonts w:ascii="Times New Roman" w:eastAsia="宋体" w:hAnsi="Times New Roman" w:cs="Times New Roman"/>
                <w:kern w:val="0"/>
                <w:szCs w:val="21"/>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食品院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55</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Cs w:val="21"/>
              </w:rPr>
            </w:pPr>
            <w:r w:rsidRPr="002D3BA8">
              <w:rPr>
                <w:rFonts w:ascii="宋体" w:eastAsia="宋体" w:hAnsi="宋体" w:cs="宋体" w:hint="eastAsia"/>
                <w:kern w:val="0"/>
                <w:szCs w:val="21"/>
              </w:rPr>
              <w:t>彭</w:t>
            </w:r>
            <w:r w:rsidRPr="002D3BA8">
              <w:rPr>
                <w:rFonts w:ascii="Times New Roman" w:eastAsia="宋体" w:hAnsi="Times New Roman" w:cs="Times New Roman"/>
                <w:kern w:val="0"/>
                <w:szCs w:val="21"/>
              </w:rPr>
              <w:t xml:space="preserve">  </w:t>
            </w:r>
            <w:r w:rsidRPr="002D3BA8">
              <w:rPr>
                <w:rFonts w:ascii="宋体" w:eastAsia="宋体" w:hAnsi="宋体" w:cs="宋体" w:hint="eastAsia"/>
                <w:kern w:val="0"/>
                <w:szCs w:val="21"/>
              </w:rPr>
              <w:t>菁</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Cs w:val="21"/>
              </w:rPr>
            </w:pPr>
            <w:r w:rsidRPr="002D3BA8">
              <w:rPr>
                <w:rFonts w:ascii="宋体" w:eastAsia="宋体" w:hAnsi="宋体" w:cs="宋体" w:hint="eastAsia"/>
                <w:kern w:val="0"/>
                <w:szCs w:val="21"/>
              </w:rPr>
              <w:t>微波对袋装卤水牛肉巴氏杀菌动力学与品质影响的机理研究</w:t>
            </w:r>
          </w:p>
        </w:tc>
        <w:tc>
          <w:tcPr>
            <w:tcW w:w="479"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kern w:val="0"/>
                <w:szCs w:val="21"/>
              </w:rPr>
            </w:pPr>
            <w:r w:rsidRPr="002D3BA8">
              <w:rPr>
                <w:rFonts w:ascii="Times New Roman" w:eastAsia="宋体" w:hAnsi="Times New Roman" w:cs="Times New Roman"/>
                <w:kern w:val="0"/>
                <w:szCs w:val="21"/>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食品院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56</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Cs w:val="21"/>
              </w:rPr>
            </w:pPr>
            <w:r w:rsidRPr="002D3BA8">
              <w:rPr>
                <w:rFonts w:ascii="宋体" w:eastAsia="宋体" w:hAnsi="宋体" w:cs="宋体" w:hint="eastAsia"/>
                <w:kern w:val="0"/>
                <w:szCs w:val="21"/>
              </w:rPr>
              <w:t>张雅玮</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Cs w:val="21"/>
              </w:rPr>
            </w:pPr>
            <w:r w:rsidRPr="002D3BA8">
              <w:rPr>
                <w:rFonts w:ascii="宋体" w:eastAsia="宋体" w:hAnsi="宋体" w:cs="宋体" w:hint="eastAsia"/>
                <w:kern w:val="0"/>
                <w:szCs w:val="21"/>
              </w:rPr>
              <w:t>低盐条件下咸味特征氨基酸对鱼肉肌球蛋白功能特性影响规律研究</w:t>
            </w:r>
          </w:p>
        </w:tc>
        <w:tc>
          <w:tcPr>
            <w:tcW w:w="479" w:type="pct"/>
            <w:shd w:val="clear" w:color="auto" w:fill="auto"/>
            <w:vAlign w:val="center"/>
            <w:hideMark/>
          </w:tcPr>
          <w:p w:rsidR="002D3BA8" w:rsidRPr="002D3BA8" w:rsidRDefault="002D3BA8" w:rsidP="002D3BA8">
            <w:pPr>
              <w:widowControl/>
              <w:jc w:val="center"/>
              <w:rPr>
                <w:rFonts w:ascii="Times New Roman" w:eastAsia="宋体" w:hAnsi="Times New Roman" w:cs="Times New Roman" w:hint="eastAsia"/>
                <w:kern w:val="0"/>
                <w:szCs w:val="21"/>
              </w:rPr>
            </w:pPr>
            <w:r w:rsidRPr="002D3BA8">
              <w:rPr>
                <w:rFonts w:ascii="Times New Roman" w:eastAsia="宋体" w:hAnsi="Times New Roman" w:cs="Times New Roman"/>
                <w:kern w:val="0"/>
                <w:szCs w:val="21"/>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kern w:val="0"/>
                <w:sz w:val="24"/>
                <w:szCs w:val="24"/>
              </w:rPr>
            </w:pPr>
            <w:r w:rsidRPr="002D3BA8">
              <w:rPr>
                <w:rFonts w:ascii="宋体" w:eastAsia="宋体" w:hAnsi="宋体" w:cs="宋体" w:hint="eastAsia"/>
                <w:kern w:val="0"/>
                <w:sz w:val="24"/>
                <w:szCs w:val="24"/>
              </w:rPr>
              <w:t>食品院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57</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陈可</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表面机械处理法制备高熵合金涂层及其热性质研究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9</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工学院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58</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王永健</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混合断裂模式下压电材料内聚区模型参数的确定及其应用</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9</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工学院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59</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王兴盛</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水田足式机器人触土部件磁控激光诱导液体等离子体微加工研究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9</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工学院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60</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林尽染</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农用水泵叶片非晶纳米晶防护涂层及其汽蚀-腐蚀耦合损伤行为研究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9</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工学院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61</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邹修国</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基于ENVI和视觉技术的茶树霜冻灾损测度研究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9</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工学院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62</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孙玉文</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基于机器视觉及近红外的猕猴桃实时优选分级关键技术研究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8</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工学院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63</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江亿平</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生鲜农产品“农-宅”网上直销的采摘与配送联合优化方法研究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9</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工学院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64</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赵吉坤</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层状边坡危岩体地震动力破坏机理及灾变行为研究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9</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工学院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65</w:t>
            </w:r>
          </w:p>
        </w:tc>
        <w:tc>
          <w:tcPr>
            <w:tcW w:w="554"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吴威</w:t>
            </w:r>
          </w:p>
        </w:tc>
        <w:tc>
          <w:tcPr>
            <w:tcW w:w="3251" w:type="pct"/>
            <w:shd w:val="clear" w:color="auto" w:fill="auto"/>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基于高光谱成像技术的禽胴体表面低可见污染物检测技术研究</w:t>
            </w:r>
          </w:p>
        </w:tc>
        <w:tc>
          <w:tcPr>
            <w:tcW w:w="479"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9</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工学院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66</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顾兴健</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面向维数约简的缓变鉴别分析算法与理论研究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信息院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67</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刘金定</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靶标抗性相关的RNA编辑事件预测和验证</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信息院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68</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薛  卫</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蛋白质亚细胞区间多标记预测</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信息院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69</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胡  滨</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 xml:space="preserve">无线传感器网络定位及覆盖技术研究 </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信息院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70</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谢忠红</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多源图像融合的奶牛发情行为监测系统研究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信息院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lastRenderedPageBreak/>
              <w:t>71</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施海帆</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细胞骨架结合蛋白参与海滨雀稗耐受盐胁迫反应的机制研究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草业学院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72</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任海彦</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物种斑块化分布对南方草地生产力的影响</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草业学院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73</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于景金</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color w:val="000000"/>
                <w:kern w:val="0"/>
                <w:sz w:val="22"/>
              </w:rPr>
            </w:pPr>
            <w:r w:rsidRPr="002D3BA8">
              <w:rPr>
                <w:rFonts w:ascii="宋体" w:eastAsia="宋体" w:hAnsi="宋体" w:cs="宋体" w:hint="eastAsia"/>
                <w:color w:val="000000"/>
                <w:kern w:val="0"/>
                <w:sz w:val="22"/>
              </w:rPr>
              <w:t>高浓度CO</w:t>
            </w:r>
            <w:r w:rsidRPr="002D3BA8">
              <w:rPr>
                <w:rFonts w:ascii="宋体" w:eastAsia="宋体" w:hAnsi="宋体" w:cs="宋体" w:hint="eastAsia"/>
                <w:color w:val="000000"/>
                <w:kern w:val="0"/>
                <w:sz w:val="22"/>
                <w:vertAlign w:val="subscript"/>
              </w:rPr>
              <w:t>2</w:t>
            </w:r>
            <w:r w:rsidRPr="002D3BA8">
              <w:rPr>
                <w:rFonts w:ascii="宋体" w:eastAsia="宋体" w:hAnsi="宋体" w:cs="宋体" w:hint="eastAsia"/>
                <w:color w:val="000000"/>
                <w:kern w:val="0"/>
                <w:sz w:val="22"/>
              </w:rPr>
              <w:t>调控高羊茅根系发育的分子机制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草业学院</w:t>
            </w:r>
          </w:p>
        </w:tc>
      </w:tr>
      <w:tr w:rsidR="002D3BA8" w:rsidRPr="002D3BA8" w:rsidTr="002D3BA8">
        <w:trPr>
          <w:trHeight w:val="20"/>
          <w:jc w:val="center"/>
        </w:trPr>
        <w:tc>
          <w:tcPr>
            <w:tcW w:w="20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74</w:t>
            </w:r>
          </w:p>
        </w:tc>
        <w:tc>
          <w:tcPr>
            <w:tcW w:w="554"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迟英俊</w:t>
            </w:r>
          </w:p>
        </w:tc>
        <w:tc>
          <w:tcPr>
            <w:tcW w:w="3251" w:type="pct"/>
            <w:shd w:val="clear" w:color="auto" w:fill="auto"/>
            <w:noWrap/>
            <w:vAlign w:val="center"/>
            <w:hideMark/>
          </w:tcPr>
          <w:p w:rsidR="002D3BA8" w:rsidRPr="002D3BA8" w:rsidRDefault="002D3BA8" w:rsidP="002D3BA8">
            <w:pPr>
              <w:widowControl/>
              <w:rPr>
                <w:rFonts w:ascii="宋体" w:eastAsia="宋体" w:hAnsi="宋体" w:cs="宋体" w:hint="eastAsia"/>
                <w:kern w:val="0"/>
                <w:sz w:val="24"/>
                <w:szCs w:val="24"/>
              </w:rPr>
            </w:pPr>
            <w:r w:rsidRPr="002D3BA8">
              <w:rPr>
                <w:rFonts w:ascii="宋体" w:eastAsia="宋体" w:hAnsi="宋体" w:cs="宋体" w:hint="eastAsia"/>
                <w:kern w:val="0"/>
                <w:sz w:val="24"/>
                <w:szCs w:val="24"/>
              </w:rPr>
              <w:t>豆科植物特异性基因</w:t>
            </w:r>
            <w:r w:rsidRPr="002D3BA8">
              <w:rPr>
                <w:rFonts w:ascii="宋体" w:eastAsia="宋体" w:hAnsi="宋体" w:cs="宋体" w:hint="eastAsia"/>
                <w:i/>
                <w:iCs/>
                <w:kern w:val="0"/>
                <w:sz w:val="24"/>
                <w:szCs w:val="24"/>
              </w:rPr>
              <w:t>MtWRP1</w:t>
            </w:r>
            <w:r w:rsidRPr="002D3BA8">
              <w:rPr>
                <w:rFonts w:ascii="宋体" w:eastAsia="宋体" w:hAnsi="宋体" w:cs="宋体" w:hint="eastAsia"/>
                <w:kern w:val="0"/>
                <w:sz w:val="24"/>
                <w:szCs w:val="24"/>
              </w:rPr>
              <w:t>在蒺藜苜蓿中的功能研究</w:t>
            </w:r>
          </w:p>
        </w:tc>
        <w:tc>
          <w:tcPr>
            <w:tcW w:w="479" w:type="pct"/>
            <w:shd w:val="clear" w:color="auto" w:fill="auto"/>
            <w:noWrap/>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10</w:t>
            </w:r>
          </w:p>
        </w:tc>
        <w:tc>
          <w:tcPr>
            <w:tcW w:w="507" w:type="pct"/>
            <w:shd w:val="clear" w:color="auto" w:fill="auto"/>
            <w:vAlign w:val="center"/>
            <w:hideMark/>
          </w:tcPr>
          <w:p w:rsidR="002D3BA8" w:rsidRPr="002D3BA8" w:rsidRDefault="002D3BA8" w:rsidP="002D3BA8">
            <w:pPr>
              <w:widowControl/>
              <w:jc w:val="center"/>
              <w:rPr>
                <w:rFonts w:ascii="宋体" w:eastAsia="宋体" w:hAnsi="宋体" w:cs="宋体" w:hint="eastAsia"/>
                <w:kern w:val="0"/>
                <w:sz w:val="24"/>
                <w:szCs w:val="24"/>
              </w:rPr>
            </w:pPr>
            <w:r w:rsidRPr="002D3BA8">
              <w:rPr>
                <w:rFonts w:ascii="宋体" w:eastAsia="宋体" w:hAnsi="宋体" w:cs="宋体" w:hint="eastAsia"/>
                <w:kern w:val="0"/>
                <w:sz w:val="24"/>
                <w:szCs w:val="24"/>
              </w:rPr>
              <w:t>草业学院</w:t>
            </w:r>
          </w:p>
        </w:tc>
      </w:tr>
      <w:tr w:rsidR="0067154B" w:rsidRPr="002D3BA8" w:rsidTr="002D3BA8">
        <w:trPr>
          <w:trHeight w:val="20"/>
          <w:jc w:val="center"/>
        </w:trPr>
        <w:tc>
          <w:tcPr>
            <w:tcW w:w="209" w:type="pct"/>
            <w:shd w:val="clear" w:color="auto" w:fill="auto"/>
            <w:noWrap/>
            <w:vAlign w:val="center"/>
          </w:tcPr>
          <w:p w:rsidR="0067154B" w:rsidRPr="002D3BA8" w:rsidRDefault="0067154B" w:rsidP="002D3BA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75</w:t>
            </w:r>
          </w:p>
        </w:tc>
        <w:tc>
          <w:tcPr>
            <w:tcW w:w="554" w:type="pct"/>
            <w:shd w:val="clear" w:color="auto" w:fill="auto"/>
            <w:noWrap/>
            <w:vAlign w:val="center"/>
          </w:tcPr>
          <w:p w:rsidR="0067154B" w:rsidRPr="002D3BA8" w:rsidRDefault="0067154B" w:rsidP="002D3BA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张亮亮</w:t>
            </w:r>
          </w:p>
        </w:tc>
        <w:tc>
          <w:tcPr>
            <w:tcW w:w="3251" w:type="pct"/>
            <w:shd w:val="clear" w:color="auto" w:fill="auto"/>
            <w:noWrap/>
            <w:vAlign w:val="center"/>
          </w:tcPr>
          <w:p w:rsidR="0067154B" w:rsidRPr="002D3BA8" w:rsidRDefault="0067154B" w:rsidP="002D3BA8">
            <w:pPr>
              <w:widowControl/>
              <w:rPr>
                <w:rFonts w:ascii="宋体" w:eastAsia="宋体" w:hAnsi="宋体" w:cs="宋体" w:hint="eastAsia"/>
                <w:kern w:val="0"/>
                <w:sz w:val="24"/>
                <w:szCs w:val="24"/>
              </w:rPr>
            </w:pPr>
            <w:r w:rsidRPr="0067154B">
              <w:rPr>
                <w:rFonts w:ascii="宋体" w:eastAsia="宋体" w:hAnsi="宋体" w:cs="宋体" w:hint="eastAsia"/>
                <w:kern w:val="0"/>
                <w:sz w:val="24"/>
                <w:szCs w:val="24"/>
              </w:rPr>
              <w:t>高校科研成果（苏淮猪）产业化调研</w:t>
            </w:r>
          </w:p>
        </w:tc>
        <w:tc>
          <w:tcPr>
            <w:tcW w:w="479" w:type="pct"/>
            <w:shd w:val="clear" w:color="auto" w:fill="auto"/>
            <w:noWrap/>
            <w:vAlign w:val="center"/>
          </w:tcPr>
          <w:p w:rsidR="0067154B" w:rsidRPr="002D3BA8" w:rsidRDefault="0067154B" w:rsidP="002D3BA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507" w:type="pct"/>
            <w:shd w:val="clear" w:color="auto" w:fill="auto"/>
            <w:vAlign w:val="center"/>
          </w:tcPr>
          <w:p w:rsidR="0067154B" w:rsidRPr="002D3BA8" w:rsidRDefault="0067154B" w:rsidP="002D3BA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团委</w:t>
            </w:r>
          </w:p>
        </w:tc>
      </w:tr>
      <w:tr w:rsidR="0067154B" w:rsidRPr="002D3BA8" w:rsidTr="002D3BA8">
        <w:trPr>
          <w:trHeight w:val="20"/>
          <w:jc w:val="center"/>
        </w:trPr>
        <w:tc>
          <w:tcPr>
            <w:tcW w:w="209" w:type="pct"/>
            <w:shd w:val="clear" w:color="auto" w:fill="auto"/>
            <w:noWrap/>
            <w:vAlign w:val="center"/>
          </w:tcPr>
          <w:p w:rsidR="0067154B" w:rsidRPr="002D3BA8" w:rsidRDefault="0067154B" w:rsidP="002D3BA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76</w:t>
            </w:r>
          </w:p>
        </w:tc>
        <w:tc>
          <w:tcPr>
            <w:tcW w:w="554" w:type="pct"/>
            <w:shd w:val="clear" w:color="auto" w:fill="auto"/>
            <w:noWrap/>
            <w:vAlign w:val="center"/>
          </w:tcPr>
          <w:p w:rsidR="0067154B" w:rsidRPr="002D3BA8" w:rsidRDefault="0067154B" w:rsidP="002D3BA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陆东东</w:t>
            </w:r>
          </w:p>
        </w:tc>
        <w:tc>
          <w:tcPr>
            <w:tcW w:w="3251" w:type="pct"/>
            <w:shd w:val="clear" w:color="auto" w:fill="auto"/>
            <w:noWrap/>
            <w:vAlign w:val="center"/>
          </w:tcPr>
          <w:p w:rsidR="0067154B" w:rsidRPr="002D3BA8" w:rsidRDefault="0067154B" w:rsidP="002D3BA8">
            <w:pPr>
              <w:widowControl/>
              <w:rPr>
                <w:rFonts w:ascii="宋体" w:eastAsia="宋体" w:hAnsi="宋体" w:cs="宋体" w:hint="eastAsia"/>
                <w:kern w:val="0"/>
                <w:sz w:val="24"/>
                <w:szCs w:val="24"/>
              </w:rPr>
            </w:pPr>
            <w:r w:rsidRPr="0067154B">
              <w:rPr>
                <w:rFonts w:ascii="宋体" w:eastAsia="宋体" w:hAnsi="宋体" w:cs="宋体" w:hint="eastAsia"/>
                <w:kern w:val="0"/>
                <w:sz w:val="24"/>
                <w:szCs w:val="24"/>
              </w:rPr>
              <w:t>高校不同人群的体能训练与营养膳食方案的研究——以南京农业大学为例</w:t>
            </w:r>
          </w:p>
        </w:tc>
        <w:tc>
          <w:tcPr>
            <w:tcW w:w="479" w:type="pct"/>
            <w:shd w:val="clear" w:color="auto" w:fill="auto"/>
            <w:noWrap/>
            <w:vAlign w:val="center"/>
          </w:tcPr>
          <w:p w:rsidR="0067154B" w:rsidRPr="002D3BA8" w:rsidRDefault="0067154B" w:rsidP="002D3BA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20</w:t>
            </w:r>
          </w:p>
        </w:tc>
        <w:tc>
          <w:tcPr>
            <w:tcW w:w="507" w:type="pct"/>
            <w:shd w:val="clear" w:color="auto" w:fill="auto"/>
            <w:vAlign w:val="center"/>
          </w:tcPr>
          <w:p w:rsidR="0067154B" w:rsidRPr="002D3BA8" w:rsidRDefault="0067154B" w:rsidP="002D3BA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体育部</w:t>
            </w:r>
          </w:p>
        </w:tc>
      </w:tr>
    </w:tbl>
    <w:p w:rsidR="00263F9F" w:rsidRDefault="00263F9F" w:rsidP="00074E10">
      <w:pPr>
        <w:pStyle w:val="a4"/>
        <w:ind w:left="420" w:firstLineChars="0" w:firstLine="0"/>
      </w:pPr>
    </w:p>
    <w:sectPr w:rsidR="00263F9F" w:rsidSect="005F660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AD2" w:rsidRDefault="00746AD2" w:rsidP="00074E10">
      <w:r>
        <w:separator/>
      </w:r>
    </w:p>
  </w:endnote>
  <w:endnote w:type="continuationSeparator" w:id="0">
    <w:p w:rsidR="00746AD2" w:rsidRDefault="00746AD2" w:rsidP="0007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AD2" w:rsidRDefault="00746AD2" w:rsidP="00074E10">
      <w:r>
        <w:separator/>
      </w:r>
    </w:p>
  </w:footnote>
  <w:footnote w:type="continuationSeparator" w:id="0">
    <w:p w:rsidR="00746AD2" w:rsidRDefault="00746AD2" w:rsidP="00074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D4C"/>
    <w:multiLevelType w:val="hybridMultilevel"/>
    <w:tmpl w:val="43DCA5FA"/>
    <w:lvl w:ilvl="0" w:tplc="399462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225A44"/>
    <w:multiLevelType w:val="hybridMultilevel"/>
    <w:tmpl w:val="5B20580C"/>
    <w:lvl w:ilvl="0" w:tplc="399462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90440"/>
    <w:multiLevelType w:val="hybridMultilevel"/>
    <w:tmpl w:val="43DCA5FA"/>
    <w:lvl w:ilvl="0" w:tplc="399462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660A"/>
    <w:rsid w:val="00074E10"/>
    <w:rsid w:val="000E53DE"/>
    <w:rsid w:val="001B50C7"/>
    <w:rsid w:val="001F2698"/>
    <w:rsid w:val="00246AB5"/>
    <w:rsid w:val="00263F9F"/>
    <w:rsid w:val="002945E0"/>
    <w:rsid w:val="002D3BA8"/>
    <w:rsid w:val="00563C0A"/>
    <w:rsid w:val="00567ED4"/>
    <w:rsid w:val="005F660A"/>
    <w:rsid w:val="006561F3"/>
    <w:rsid w:val="0067154B"/>
    <w:rsid w:val="00746AD2"/>
    <w:rsid w:val="007D56E4"/>
    <w:rsid w:val="00814B65"/>
    <w:rsid w:val="00A20366"/>
    <w:rsid w:val="00B075A7"/>
    <w:rsid w:val="00B25B08"/>
    <w:rsid w:val="00BF032B"/>
    <w:rsid w:val="00CE60CA"/>
    <w:rsid w:val="00D11DBF"/>
    <w:rsid w:val="00D17BD0"/>
    <w:rsid w:val="00E64A2D"/>
    <w:rsid w:val="00F47525"/>
    <w:rsid w:val="00F6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F05F9-E5AD-4026-BFEC-CAE59D11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6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F2698"/>
    <w:pPr>
      <w:ind w:firstLineChars="200" w:firstLine="420"/>
    </w:pPr>
  </w:style>
  <w:style w:type="paragraph" w:styleId="a5">
    <w:name w:val="header"/>
    <w:basedOn w:val="a"/>
    <w:link w:val="Char"/>
    <w:uiPriority w:val="99"/>
    <w:unhideWhenUsed/>
    <w:rsid w:val="00074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4E10"/>
    <w:rPr>
      <w:sz w:val="18"/>
      <w:szCs w:val="18"/>
    </w:rPr>
  </w:style>
  <w:style w:type="paragraph" w:styleId="a6">
    <w:name w:val="footer"/>
    <w:basedOn w:val="a"/>
    <w:link w:val="Char0"/>
    <w:uiPriority w:val="99"/>
    <w:unhideWhenUsed/>
    <w:rsid w:val="00074E10"/>
    <w:pPr>
      <w:tabs>
        <w:tab w:val="center" w:pos="4153"/>
        <w:tab w:val="right" w:pos="8306"/>
      </w:tabs>
      <w:snapToGrid w:val="0"/>
      <w:jc w:val="left"/>
    </w:pPr>
    <w:rPr>
      <w:sz w:val="18"/>
      <w:szCs w:val="18"/>
    </w:rPr>
  </w:style>
  <w:style w:type="character" w:customStyle="1" w:styleId="Char0">
    <w:name w:val="页脚 Char"/>
    <w:basedOn w:val="a0"/>
    <w:link w:val="a6"/>
    <w:uiPriority w:val="99"/>
    <w:rsid w:val="00074E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6169">
      <w:bodyDiv w:val="1"/>
      <w:marLeft w:val="0"/>
      <w:marRight w:val="0"/>
      <w:marTop w:val="0"/>
      <w:marBottom w:val="0"/>
      <w:divBdr>
        <w:top w:val="none" w:sz="0" w:space="0" w:color="auto"/>
        <w:left w:val="none" w:sz="0" w:space="0" w:color="auto"/>
        <w:bottom w:val="none" w:sz="0" w:space="0" w:color="auto"/>
        <w:right w:val="none" w:sz="0" w:space="0" w:color="auto"/>
      </w:divBdr>
    </w:div>
    <w:div w:id="341510437">
      <w:bodyDiv w:val="1"/>
      <w:marLeft w:val="0"/>
      <w:marRight w:val="0"/>
      <w:marTop w:val="0"/>
      <w:marBottom w:val="0"/>
      <w:divBdr>
        <w:top w:val="none" w:sz="0" w:space="0" w:color="auto"/>
        <w:left w:val="none" w:sz="0" w:space="0" w:color="auto"/>
        <w:bottom w:val="none" w:sz="0" w:space="0" w:color="auto"/>
        <w:right w:val="none" w:sz="0" w:space="0" w:color="auto"/>
      </w:divBdr>
    </w:div>
    <w:div w:id="624654155">
      <w:bodyDiv w:val="1"/>
      <w:marLeft w:val="0"/>
      <w:marRight w:val="0"/>
      <w:marTop w:val="0"/>
      <w:marBottom w:val="0"/>
      <w:divBdr>
        <w:top w:val="none" w:sz="0" w:space="0" w:color="auto"/>
        <w:left w:val="none" w:sz="0" w:space="0" w:color="auto"/>
        <w:bottom w:val="none" w:sz="0" w:space="0" w:color="auto"/>
        <w:right w:val="none" w:sz="0" w:space="0" w:color="auto"/>
      </w:divBdr>
    </w:div>
    <w:div w:id="664557487">
      <w:bodyDiv w:val="1"/>
      <w:marLeft w:val="0"/>
      <w:marRight w:val="0"/>
      <w:marTop w:val="0"/>
      <w:marBottom w:val="0"/>
      <w:divBdr>
        <w:top w:val="none" w:sz="0" w:space="0" w:color="auto"/>
        <w:left w:val="none" w:sz="0" w:space="0" w:color="auto"/>
        <w:bottom w:val="none" w:sz="0" w:space="0" w:color="auto"/>
        <w:right w:val="none" w:sz="0" w:space="0" w:color="auto"/>
      </w:divBdr>
    </w:div>
    <w:div w:id="679310358">
      <w:bodyDiv w:val="1"/>
      <w:marLeft w:val="0"/>
      <w:marRight w:val="0"/>
      <w:marTop w:val="0"/>
      <w:marBottom w:val="0"/>
      <w:divBdr>
        <w:top w:val="none" w:sz="0" w:space="0" w:color="auto"/>
        <w:left w:val="none" w:sz="0" w:space="0" w:color="auto"/>
        <w:bottom w:val="none" w:sz="0" w:space="0" w:color="auto"/>
        <w:right w:val="none" w:sz="0" w:space="0" w:color="auto"/>
      </w:divBdr>
    </w:div>
    <w:div w:id="731855567">
      <w:bodyDiv w:val="1"/>
      <w:marLeft w:val="0"/>
      <w:marRight w:val="0"/>
      <w:marTop w:val="0"/>
      <w:marBottom w:val="0"/>
      <w:divBdr>
        <w:top w:val="none" w:sz="0" w:space="0" w:color="auto"/>
        <w:left w:val="none" w:sz="0" w:space="0" w:color="auto"/>
        <w:bottom w:val="none" w:sz="0" w:space="0" w:color="auto"/>
        <w:right w:val="none" w:sz="0" w:space="0" w:color="auto"/>
      </w:divBdr>
      <w:divsChild>
        <w:div w:id="542445977">
          <w:marLeft w:val="0"/>
          <w:marRight w:val="0"/>
          <w:marTop w:val="0"/>
          <w:marBottom w:val="0"/>
          <w:divBdr>
            <w:top w:val="none" w:sz="0" w:space="0" w:color="auto"/>
            <w:left w:val="none" w:sz="0" w:space="0" w:color="auto"/>
            <w:bottom w:val="none" w:sz="0" w:space="0" w:color="auto"/>
            <w:right w:val="none" w:sz="0" w:space="0" w:color="auto"/>
          </w:divBdr>
        </w:div>
      </w:divsChild>
    </w:div>
    <w:div w:id="823855499">
      <w:bodyDiv w:val="1"/>
      <w:marLeft w:val="0"/>
      <w:marRight w:val="0"/>
      <w:marTop w:val="0"/>
      <w:marBottom w:val="0"/>
      <w:divBdr>
        <w:top w:val="none" w:sz="0" w:space="0" w:color="auto"/>
        <w:left w:val="none" w:sz="0" w:space="0" w:color="auto"/>
        <w:bottom w:val="none" w:sz="0" w:space="0" w:color="auto"/>
        <w:right w:val="none" w:sz="0" w:space="0" w:color="auto"/>
      </w:divBdr>
    </w:div>
    <w:div w:id="1001008190">
      <w:bodyDiv w:val="1"/>
      <w:marLeft w:val="0"/>
      <w:marRight w:val="0"/>
      <w:marTop w:val="0"/>
      <w:marBottom w:val="0"/>
      <w:divBdr>
        <w:top w:val="none" w:sz="0" w:space="0" w:color="auto"/>
        <w:left w:val="none" w:sz="0" w:space="0" w:color="auto"/>
        <w:bottom w:val="none" w:sz="0" w:space="0" w:color="auto"/>
        <w:right w:val="none" w:sz="0" w:space="0" w:color="auto"/>
      </w:divBdr>
    </w:div>
    <w:div w:id="1082142161">
      <w:bodyDiv w:val="1"/>
      <w:marLeft w:val="0"/>
      <w:marRight w:val="0"/>
      <w:marTop w:val="0"/>
      <w:marBottom w:val="0"/>
      <w:divBdr>
        <w:top w:val="none" w:sz="0" w:space="0" w:color="auto"/>
        <w:left w:val="none" w:sz="0" w:space="0" w:color="auto"/>
        <w:bottom w:val="none" w:sz="0" w:space="0" w:color="auto"/>
        <w:right w:val="none" w:sz="0" w:space="0" w:color="auto"/>
      </w:divBdr>
    </w:div>
    <w:div w:id="1165826636">
      <w:bodyDiv w:val="1"/>
      <w:marLeft w:val="0"/>
      <w:marRight w:val="0"/>
      <w:marTop w:val="0"/>
      <w:marBottom w:val="0"/>
      <w:divBdr>
        <w:top w:val="none" w:sz="0" w:space="0" w:color="auto"/>
        <w:left w:val="none" w:sz="0" w:space="0" w:color="auto"/>
        <w:bottom w:val="none" w:sz="0" w:space="0" w:color="auto"/>
        <w:right w:val="none" w:sz="0" w:space="0" w:color="auto"/>
      </w:divBdr>
    </w:div>
    <w:div w:id="1225991643">
      <w:bodyDiv w:val="1"/>
      <w:marLeft w:val="0"/>
      <w:marRight w:val="0"/>
      <w:marTop w:val="0"/>
      <w:marBottom w:val="0"/>
      <w:divBdr>
        <w:top w:val="none" w:sz="0" w:space="0" w:color="auto"/>
        <w:left w:val="none" w:sz="0" w:space="0" w:color="auto"/>
        <w:bottom w:val="none" w:sz="0" w:space="0" w:color="auto"/>
        <w:right w:val="none" w:sz="0" w:space="0" w:color="auto"/>
      </w:divBdr>
    </w:div>
    <w:div w:id="1360279771">
      <w:bodyDiv w:val="1"/>
      <w:marLeft w:val="0"/>
      <w:marRight w:val="0"/>
      <w:marTop w:val="0"/>
      <w:marBottom w:val="0"/>
      <w:divBdr>
        <w:top w:val="none" w:sz="0" w:space="0" w:color="auto"/>
        <w:left w:val="none" w:sz="0" w:space="0" w:color="auto"/>
        <w:bottom w:val="none" w:sz="0" w:space="0" w:color="auto"/>
        <w:right w:val="none" w:sz="0" w:space="0" w:color="auto"/>
      </w:divBdr>
    </w:div>
    <w:div w:id="1498960819">
      <w:bodyDiv w:val="1"/>
      <w:marLeft w:val="0"/>
      <w:marRight w:val="0"/>
      <w:marTop w:val="0"/>
      <w:marBottom w:val="0"/>
      <w:divBdr>
        <w:top w:val="none" w:sz="0" w:space="0" w:color="auto"/>
        <w:left w:val="none" w:sz="0" w:space="0" w:color="auto"/>
        <w:bottom w:val="none" w:sz="0" w:space="0" w:color="auto"/>
        <w:right w:val="none" w:sz="0" w:space="0" w:color="auto"/>
      </w:divBdr>
    </w:div>
    <w:div w:id="1572471236">
      <w:bodyDiv w:val="1"/>
      <w:marLeft w:val="0"/>
      <w:marRight w:val="0"/>
      <w:marTop w:val="0"/>
      <w:marBottom w:val="0"/>
      <w:divBdr>
        <w:top w:val="none" w:sz="0" w:space="0" w:color="auto"/>
        <w:left w:val="none" w:sz="0" w:space="0" w:color="auto"/>
        <w:bottom w:val="none" w:sz="0" w:space="0" w:color="auto"/>
        <w:right w:val="none" w:sz="0" w:space="0" w:color="auto"/>
      </w:divBdr>
    </w:div>
    <w:div w:id="1681351384">
      <w:bodyDiv w:val="1"/>
      <w:marLeft w:val="0"/>
      <w:marRight w:val="0"/>
      <w:marTop w:val="0"/>
      <w:marBottom w:val="0"/>
      <w:divBdr>
        <w:top w:val="none" w:sz="0" w:space="0" w:color="auto"/>
        <w:left w:val="none" w:sz="0" w:space="0" w:color="auto"/>
        <w:bottom w:val="none" w:sz="0" w:space="0" w:color="auto"/>
        <w:right w:val="none" w:sz="0" w:space="0" w:color="auto"/>
      </w:divBdr>
    </w:div>
    <w:div w:id="1836914003">
      <w:bodyDiv w:val="1"/>
      <w:marLeft w:val="0"/>
      <w:marRight w:val="0"/>
      <w:marTop w:val="0"/>
      <w:marBottom w:val="0"/>
      <w:divBdr>
        <w:top w:val="none" w:sz="0" w:space="0" w:color="auto"/>
        <w:left w:val="none" w:sz="0" w:space="0" w:color="auto"/>
        <w:bottom w:val="none" w:sz="0" w:space="0" w:color="auto"/>
        <w:right w:val="none" w:sz="0" w:space="0" w:color="auto"/>
      </w:divBdr>
    </w:div>
    <w:div w:id="18432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460</Words>
  <Characters>2627</Characters>
  <Application>Microsoft Office Word</Application>
  <DocSecurity>0</DocSecurity>
  <Lines>21</Lines>
  <Paragraphs>6</Paragraphs>
  <ScaleCrop>false</ScaleCrop>
  <Company>微软中国</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15</cp:revision>
  <dcterms:created xsi:type="dcterms:W3CDTF">2015-03-12T00:24:00Z</dcterms:created>
  <dcterms:modified xsi:type="dcterms:W3CDTF">2016-03-28T08:30:00Z</dcterms:modified>
</cp:coreProperties>
</file>