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E6" w:rsidRPr="00E27550" w:rsidRDefault="00B764E6" w:rsidP="00B764E6">
      <w:pPr>
        <w:jc w:val="center"/>
        <w:rPr>
          <w:rFonts w:ascii="Times New Roman" w:eastAsia="黑体" w:hAnsi="Times New Roman" w:cs="Times New Roman"/>
          <w:sz w:val="32"/>
          <w:szCs w:val="30"/>
        </w:rPr>
      </w:pPr>
      <w:r w:rsidRPr="00E27550">
        <w:rPr>
          <w:rFonts w:ascii="Times New Roman" w:eastAsia="黑体" w:hAnsi="Times New Roman" w:cs="Times New Roman"/>
          <w:sz w:val="32"/>
          <w:szCs w:val="30"/>
        </w:rPr>
        <w:t>201</w:t>
      </w:r>
      <w:r w:rsidR="004E6FAE">
        <w:rPr>
          <w:rFonts w:ascii="Times New Roman" w:eastAsia="黑体" w:hAnsi="Times New Roman" w:cs="Times New Roman" w:hint="eastAsia"/>
          <w:sz w:val="32"/>
          <w:szCs w:val="30"/>
        </w:rPr>
        <w:t>7</w:t>
      </w:r>
      <w:r w:rsidRPr="00E27550">
        <w:rPr>
          <w:rFonts w:ascii="Times New Roman" w:eastAsia="黑体" w:hAnsi="Times New Roman" w:cs="Times New Roman"/>
          <w:sz w:val="32"/>
          <w:szCs w:val="30"/>
        </w:rPr>
        <w:t>年基本科研业务费自主创新项目立项清单</w:t>
      </w:r>
    </w:p>
    <w:p w:rsidR="00B764E6" w:rsidRPr="00E27550" w:rsidRDefault="00B764E6" w:rsidP="00B764E6">
      <w:pPr>
        <w:jc w:val="center"/>
        <w:rPr>
          <w:rFonts w:ascii="Times New Roman" w:hAnsi="Times New Roman" w:cs="Times New Roman"/>
        </w:rPr>
      </w:pPr>
    </w:p>
    <w:tbl>
      <w:tblPr>
        <w:tblW w:w="106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134"/>
        <w:gridCol w:w="6945"/>
        <w:gridCol w:w="851"/>
      </w:tblGrid>
      <w:tr w:rsidR="00872CFC" w:rsidRPr="00BF136A" w:rsidTr="00872CFC">
        <w:trPr>
          <w:trHeight w:hRule="exact" w:val="898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院系所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F136A"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立项金额（万元）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bookmarkStart w:id="1" w:name="_Hlk480366104"/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郭娜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Mediator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亚基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GmMED16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调控大豆对大豆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疫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霉根腐病抗性反应的分子机制研究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庄丽芳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百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萨偃麦草蓝粒基因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精细定位与候选发掘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刘蕾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蕾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温度胁迫对小麦籽粒品质形成影响的模拟研究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鲍永美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粳稻穗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瘟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抗性新基因的克隆与功能研究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阚贵珍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大豆含硫氨基酸相关性状全基因组关联分析及其基因功能研究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植保院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李圣坤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基于卵菌病害抑制剂的新型手性噁</w:t>
            </w:r>
            <w:proofErr w:type="gramStart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唑啉</w:t>
            </w:r>
            <w:proofErr w:type="gramEnd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生物碱</w:t>
            </w:r>
            <w:proofErr w:type="gramStart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及构效</w:t>
            </w:r>
            <w:proofErr w:type="gramEnd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关系研究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植保院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牛冬</w:t>
            </w:r>
            <w:proofErr w:type="gramStart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冬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水稻长链非编码</w:t>
            </w: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</w:t>
            </w: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抗水稻纹枯病的作用机制及其应用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植保院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伍辉军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生防假单</w:t>
            </w:r>
            <w:proofErr w:type="gramStart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胞</w:t>
            </w:r>
            <w:proofErr w:type="gramEnd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菌环二肽合成酶生物学功能研究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植保院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张懿熙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稻田天敌拟环纹豹</w:t>
            </w:r>
            <w:proofErr w:type="gramStart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蛛</w:t>
            </w:r>
            <w:proofErr w:type="gramEnd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乙酰胆碱酯酶在非神经系统中的功能研究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植保院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赵春青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二化螟神经突触重塑因子</w:t>
            </w: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Neuroligin</w:t>
            </w:r>
            <w:proofErr w:type="spellEnd"/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资环院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梁明祥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养分和激素影响植物对多环芳烃吸收转运的机制及调控研究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资环院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李真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土壤中解磷真菌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磷灰石相互作用在肥料和环境中的应用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资环院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卞荣军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生物质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炭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表面可溶性有机物化学组分特征及其环境效应研究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资环院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黄新元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水稻离子组自然变异的遗传基础研究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资环院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孙明明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蚓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粪中抗性基因的扩散风险及生物管控技术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资环院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刘东阳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农作物秸秆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快腐制肥及其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过程中生物学机制研究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资环院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郑冠宇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生物成因含铁次生矿物活化过硫酸盐降解磺胺类抗生物的机制研究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资环院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凌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杂交稻和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常规稻对根际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沉积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衍生碳及土壤有机质稳定性的影响差异研究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资环院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韦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中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根际益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生工程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菌群构建与作用机制研究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资环院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薛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超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抑制西瓜土传枯萎病的微生物群落装配原理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动科院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李娟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基于母源因子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Pgc7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研究胚胎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RNA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干扰新方法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动科院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汪晶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基于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早期低聚半乳糖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干预探讨微生物定植影响仔猪肠道发育及健康的分子机制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动科院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张威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TORC1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通过蛋白复合体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ncbl-1(1)1Bi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调控生长的机制研究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动科院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于敏莉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鸡原始生殖细胞发育过程中的表观遗传学调控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动医院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刘斐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超高分辨率单颗粒活细胞动态示踪新方法的研究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动医院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平继辉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低致病性禽流感病毒变异获得对哺乳动物和人高致病性的机制研究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动医院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贺斌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猪精液外</w:t>
            </w: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泌</w:t>
            </w:r>
            <w:proofErr w:type="gramEnd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体调节精子线粒体重塑的机制研究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动医院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山羊胃</w:t>
            </w: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络细胞靶向调节的结构基础与分子机理研究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动医院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庾</w:t>
            </w:r>
            <w:proofErr w:type="gramEnd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庆华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利用猪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intestinal organoids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模型探索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PEDV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对肠干细胞调控机制的研究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动医院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顾金燕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新突发猪病毒性传染病的流行病学研究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动医院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姚大伟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犬全身断层解剖及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CT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影像解剖结构研究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园艺院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谷超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乙烯调控梨果</w:t>
            </w: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实成熟</w:t>
            </w:r>
            <w:proofErr w:type="gramEnd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分子机制的研究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园艺院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刘同坤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不结球白菜春化过程中去甲基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化关键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基因的克隆和功能分析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园艺院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朱再标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环境水分梯度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与垂盆草抗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肝炎活性相关性研究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园艺院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虞夏清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基于组学联合分析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的甜瓜属异源多倍体化环状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RNAs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园艺院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贾海锋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tabs>
                <w:tab w:val="right" w:pos="8313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MYB-bHLH-WD40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复合体调控葡萄果实着色的机理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园艺院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张明娟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城市绿地中入侵植物的空间分布与扩散特征研究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园艺院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束胜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嫁接缓解高温胁迫下黄瓜幼苗光合抑制的作用机制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bookmarkStart w:id="2" w:name="OLE_LINK3"/>
            <w:bookmarkStart w:id="3" w:name="OLE_LINK4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生科院</w:t>
            </w:r>
            <w:bookmarkEnd w:id="2"/>
            <w:bookmarkEnd w:id="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陈晨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基于</w:t>
            </w:r>
            <w:proofErr w:type="spell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BsRADseq</w:t>
            </w:r>
            <w:proofErr w:type="spell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技术探究美洲商陆种群适应重金属胁迫机制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冉婷婷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双组份调节系统</w:t>
            </w:r>
            <w:proofErr w:type="spell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BarA</w:t>
            </w:r>
            <w:proofErr w:type="spell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proofErr w:type="spell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UvrY</w:t>
            </w:r>
            <w:proofErr w:type="spell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调控灵菌红素合成的机制研究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17.5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王卉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霍乱弧菌抗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ROS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过程中多种巯基翻译后调控机制的研究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陈凯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BF136A"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  <w:t>Pigmentiphaga</w:t>
            </w:r>
            <w:proofErr w:type="spell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sp. H8 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中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3,5-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二溴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-4-</w:t>
            </w: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羟基苯甲酸的代谢调控机制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陈熙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金属耐受蛋白参与甘蓝型油菜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细胞内锰离子平衡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的分子机制研究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食品院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杨润强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GABA</w:t>
            </w:r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信号</w:t>
            </w:r>
            <w:proofErr w:type="gram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介导盐</w:t>
            </w:r>
            <w:proofErr w:type="gramEnd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胁迫下大豆芽菜酚类物质富集机制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食品院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芮昕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基于免疫信息学分析乳酸发酵对</w:t>
            </w:r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β—</w:t>
            </w:r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伴大豆球蛋白过敏原性的影响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872CFC" w:rsidRPr="00BF136A" w:rsidTr="00872CFC">
        <w:trPr>
          <w:trHeight w:hRule="exact" w:val="30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食品院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赵海珍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甘油单酯</w:t>
            </w:r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surfactin</w:t>
            </w:r>
            <w:proofErr w:type="spellEnd"/>
            <w:r w:rsidRPr="00BF136A">
              <w:rPr>
                <w:rFonts w:ascii="Times New Roman" w:hAnsi="Times New Roman" w:cs="Times New Roman"/>
                <w:sz w:val="20"/>
                <w:szCs w:val="20"/>
              </w:rPr>
              <w:t>超分子油凝胶的制备及其微观结构和性能关系的研究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张帆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用于去除水中大肠杆菌的磷酸盐系磁性复合纳米功能材料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肖庆坤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力学和生物学中的几类随机动力系统若干问题研究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陈荣顺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MBH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化合物的加成反应研究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丁煜宾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基于香豆素能量给体的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FRET 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荧光探针构建方法研究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沙强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Lewis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酸催化多羰基化合物的不对称合成应用研究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bookmarkStart w:id="4" w:name="OLE_LINK5"/>
            <w:bookmarkStart w:id="5" w:name="OLE_LINK6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信息院</w:t>
            </w:r>
            <w:bookmarkEnd w:id="4"/>
            <w:bookmarkEnd w:id="5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袁培森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基于端到端的深度哈</w:t>
            </w: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希学习</w:t>
            </w:r>
            <w:proofErr w:type="gramEnd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关键技术及应用研究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任守纲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设施农业环境预测与优化调控关键技术研究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徐彦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脉冲神经网络关键问题研究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草业院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陈煜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872CFC" w:rsidRPr="00BF136A">
              <w:trPr>
                <w:trHeight w:val="471"/>
              </w:trPr>
              <w:tc>
                <w:tcPr>
                  <w:tcW w:w="55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72CFC" w:rsidRPr="00BF136A" w:rsidRDefault="00872CFC" w:rsidP="00FA4876">
                  <w:pPr>
                    <w:pStyle w:val="Default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BF136A">
                    <w:rPr>
                      <w:rFonts w:eastAsiaTheme="minorEastAsia"/>
                      <w:sz w:val="20"/>
                      <w:szCs w:val="20"/>
                    </w:rPr>
                    <w:t>SnRK2</w:t>
                  </w:r>
                  <w:r w:rsidRPr="00BF136A">
                    <w:rPr>
                      <w:rFonts w:eastAsiaTheme="minorEastAsia"/>
                      <w:sz w:val="20"/>
                      <w:szCs w:val="20"/>
                    </w:rPr>
                    <w:t>家族</w:t>
                  </w:r>
                  <w:r w:rsidRPr="00BF136A">
                    <w:rPr>
                      <w:rFonts w:ascii="宋体" w:hAnsi="宋体" w:cs="宋体" w:hint="eastAsia"/>
                      <w:sz w:val="20"/>
                      <w:szCs w:val="20"/>
                    </w:rPr>
                    <w:t>Ⅰ</w:t>
                  </w:r>
                  <w:r w:rsidRPr="00BF136A">
                    <w:rPr>
                      <w:rFonts w:eastAsiaTheme="minorEastAsia"/>
                      <w:sz w:val="20"/>
                      <w:szCs w:val="20"/>
                    </w:rPr>
                    <w:t>类成员负调控海滨雀稗耐镉的分子互作机制</w:t>
                  </w:r>
                </w:p>
              </w:tc>
            </w:tr>
          </w:tbl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草业院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肖燕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丛枝菌根真菌和磷对黑麦草草地化肥氮去向的影响及其机制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草业院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原现军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6"/>
            </w:tblGrid>
            <w:tr w:rsidR="00872CFC" w:rsidRPr="00BF136A">
              <w:trPr>
                <w:trHeight w:val="120"/>
              </w:trPr>
              <w:tc>
                <w:tcPr>
                  <w:tcW w:w="55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72CFC" w:rsidRPr="00BF136A" w:rsidRDefault="00872CFC" w:rsidP="00FA48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BF136A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牧草青贮发酵品质对其表面乳酸菌多样性的响应机制研究</w:t>
                  </w:r>
                </w:p>
              </w:tc>
            </w:tr>
          </w:tbl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草业院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孙政国</w:t>
            </w:r>
            <w:proofErr w:type="gram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云贵川地区</w:t>
            </w:r>
            <w:bookmarkStart w:id="6" w:name="OLE_LINK2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草地生态系统</w:t>
            </w: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碳源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汇变化</w:t>
            </w:r>
            <w:proofErr w:type="gramEnd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格局及驱动力研究</w:t>
            </w:r>
            <w:bookmarkEnd w:id="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於</w:t>
            </w:r>
            <w:proofErr w:type="gramEnd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海明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注水肉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近红外光谱检测及识别技术的研究与应用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肖茂华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大功率拖拉机无级变速智能控制技术研究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章永年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农田土壤上足式机器人腿部故障检测及容错步态的研究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陈云富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基于流体黏弹性效应的粒子</w:t>
            </w:r>
            <w:proofErr w:type="gramStart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微流控</w:t>
            </w:r>
            <w:proofErr w:type="gramEnd"/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操纵机理研究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</w:tr>
      <w:tr w:rsidR="00872CFC" w:rsidRPr="00BF136A" w:rsidTr="00872CFC">
        <w:trPr>
          <w:trHeight w:hRule="exact" w:val="3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FC" w:rsidRPr="00E27550" w:rsidRDefault="00872CFC" w:rsidP="00CA7C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2755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罗慧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基于机器视觉和太赫兹光谱的种子健康无损检测技术研究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CFC" w:rsidRPr="00BF136A" w:rsidRDefault="00872CFC" w:rsidP="00FA487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F136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</w:tr>
      <w:bookmarkEnd w:id="1"/>
    </w:tbl>
    <w:p w:rsidR="00730D4D" w:rsidRDefault="00730D4D" w:rsidP="00CA7C10"/>
    <w:sectPr w:rsidR="00730D4D" w:rsidSect="00B764E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7E" w:rsidRDefault="0077467E" w:rsidP="007020F1">
      <w:r>
        <w:separator/>
      </w:r>
    </w:p>
  </w:endnote>
  <w:endnote w:type="continuationSeparator" w:id="0">
    <w:p w:rsidR="0077467E" w:rsidRDefault="0077467E" w:rsidP="0070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01753"/>
      <w:docPartObj>
        <w:docPartGallery w:val="Page Numbers (Bottom of Page)"/>
        <w:docPartUnique/>
      </w:docPartObj>
    </w:sdtPr>
    <w:sdtContent>
      <w:p w:rsidR="00CA7C10" w:rsidRDefault="00CA7C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FC" w:rsidRPr="00872CFC">
          <w:rPr>
            <w:noProof/>
            <w:lang w:val="zh-CN"/>
          </w:rPr>
          <w:t>1</w:t>
        </w:r>
        <w:r>
          <w:fldChar w:fldCharType="end"/>
        </w:r>
      </w:p>
    </w:sdtContent>
  </w:sdt>
  <w:p w:rsidR="00CA7C10" w:rsidRDefault="00CA7C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7E" w:rsidRDefault="0077467E" w:rsidP="007020F1">
      <w:r>
        <w:separator/>
      </w:r>
    </w:p>
  </w:footnote>
  <w:footnote w:type="continuationSeparator" w:id="0">
    <w:p w:rsidR="0077467E" w:rsidRDefault="0077467E" w:rsidP="0070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E6"/>
    <w:rsid w:val="00003812"/>
    <w:rsid w:val="000478AF"/>
    <w:rsid w:val="001933E1"/>
    <w:rsid w:val="00217549"/>
    <w:rsid w:val="00370028"/>
    <w:rsid w:val="004B7A2D"/>
    <w:rsid w:val="004E6FAE"/>
    <w:rsid w:val="005F3FF6"/>
    <w:rsid w:val="007020F1"/>
    <w:rsid w:val="00706CBE"/>
    <w:rsid w:val="00730D4D"/>
    <w:rsid w:val="0077467E"/>
    <w:rsid w:val="00872CFC"/>
    <w:rsid w:val="00A60755"/>
    <w:rsid w:val="00B5456B"/>
    <w:rsid w:val="00B764E6"/>
    <w:rsid w:val="00BA3A4E"/>
    <w:rsid w:val="00BF136A"/>
    <w:rsid w:val="00CA7C10"/>
    <w:rsid w:val="00EA46C5"/>
    <w:rsid w:val="00F16332"/>
    <w:rsid w:val="00F509C6"/>
    <w:rsid w:val="00F6453F"/>
    <w:rsid w:val="00F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B764E6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B764E6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B764E6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unhideWhenUsed/>
    <w:rsid w:val="0070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0F1"/>
    <w:rPr>
      <w:sz w:val="18"/>
      <w:szCs w:val="18"/>
    </w:rPr>
  </w:style>
  <w:style w:type="paragraph" w:customStyle="1" w:styleId="Default">
    <w:name w:val="Default"/>
    <w:rsid w:val="00A6075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60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0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B764E6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B764E6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B764E6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unhideWhenUsed/>
    <w:rsid w:val="0070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0F1"/>
    <w:rPr>
      <w:sz w:val="18"/>
      <w:szCs w:val="18"/>
    </w:rPr>
  </w:style>
  <w:style w:type="paragraph" w:customStyle="1" w:styleId="Default">
    <w:name w:val="Default"/>
    <w:rsid w:val="00A6075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60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0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2190</Characters>
  <Application>Microsoft Office Word</Application>
  <DocSecurity>0</DocSecurity>
  <Lines>18</Lines>
  <Paragraphs>5</Paragraphs>
  <ScaleCrop>false</ScaleCrop>
  <Company>china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2017-04-20T02:31:00Z</cp:lastPrinted>
  <dcterms:created xsi:type="dcterms:W3CDTF">2017-04-20T06:29:00Z</dcterms:created>
  <dcterms:modified xsi:type="dcterms:W3CDTF">2017-04-20T06:29:00Z</dcterms:modified>
</cp:coreProperties>
</file>